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7A7C" w14:textId="69C22DD3" w:rsidR="00946EC8" w:rsidRPr="006F2B3B" w:rsidRDefault="00946EC8" w:rsidP="00946EC8">
      <w:pPr>
        <w:rPr>
          <w:rFonts w:eastAsia="Calibri"/>
          <w:sz w:val="24"/>
        </w:rPr>
      </w:pPr>
      <w:r w:rsidRPr="006F2B3B">
        <w:rPr>
          <w:rFonts w:eastAsia="Calibri"/>
          <w:noProof/>
          <w:sz w:val="24"/>
          <w:lang w:val="de-AT" w:eastAsia="de-AT"/>
        </w:rPr>
        <w:drawing>
          <wp:anchor distT="0" distB="0" distL="114300" distR="114300" simplePos="0" relativeHeight="251659264" behindDoc="1" locked="0" layoutInCell="1" allowOverlap="1" wp14:anchorId="4ACA7FA7" wp14:editId="415D0481">
            <wp:simplePos x="0" y="0"/>
            <wp:positionH relativeFrom="column">
              <wp:posOffset>2043430</wp:posOffset>
            </wp:positionH>
            <wp:positionV relativeFrom="paragraph">
              <wp:posOffset>0</wp:posOffset>
            </wp:positionV>
            <wp:extent cx="1704975" cy="862808"/>
            <wp:effectExtent l="0" t="0" r="0" b="0"/>
            <wp:wrapTight wrapText="bothSides">
              <wp:wrapPolygon edited="0">
                <wp:start x="0" y="0"/>
                <wp:lineTo x="0" y="20996"/>
                <wp:lineTo x="21238" y="20996"/>
                <wp:lineTo x="21238" y="0"/>
                <wp:lineTo x="0" y="0"/>
              </wp:wrapPolygon>
            </wp:wrapTight>
            <wp:docPr id="1" name="Grafik 1" descr="WL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LV-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8628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08D38B" w14:textId="52310529" w:rsidR="00946EC8" w:rsidRDefault="00946EC8" w:rsidP="00946EC8">
      <w:pPr>
        <w:ind w:right="-568"/>
        <w:rPr>
          <w:rFonts w:eastAsia="Calibri"/>
          <w:sz w:val="24"/>
        </w:rPr>
      </w:pPr>
    </w:p>
    <w:p w14:paraId="3D9FDF52" w14:textId="39471612" w:rsidR="00946EC8" w:rsidRDefault="00946EC8" w:rsidP="00946EC8">
      <w:pPr>
        <w:ind w:right="-568"/>
        <w:rPr>
          <w:rFonts w:eastAsia="Calibri"/>
          <w:sz w:val="24"/>
        </w:rPr>
      </w:pPr>
    </w:p>
    <w:p w14:paraId="77267CBD" w14:textId="1A8C5473" w:rsidR="00946EC8" w:rsidRDefault="00946EC8" w:rsidP="00946EC8">
      <w:pPr>
        <w:ind w:right="-568"/>
        <w:rPr>
          <w:rFonts w:eastAsia="Calibri"/>
          <w:sz w:val="24"/>
        </w:rPr>
      </w:pPr>
    </w:p>
    <w:p w14:paraId="149087F0" w14:textId="7D139A32" w:rsidR="00946EC8" w:rsidRDefault="00946EC8" w:rsidP="00946EC8">
      <w:pPr>
        <w:ind w:right="-568"/>
        <w:rPr>
          <w:rFonts w:eastAsia="Calibri"/>
          <w:sz w:val="24"/>
        </w:rPr>
      </w:pPr>
    </w:p>
    <w:p w14:paraId="740F5F21" w14:textId="77777777" w:rsidR="00586A8D" w:rsidRPr="00326EA8" w:rsidRDefault="00586A8D" w:rsidP="00946EC8">
      <w:pPr>
        <w:ind w:right="-568"/>
        <w:rPr>
          <w:rFonts w:eastAsia="Calibri"/>
          <w:sz w:val="24"/>
        </w:rPr>
      </w:pPr>
    </w:p>
    <w:p w14:paraId="74A855EF" w14:textId="749B9B26" w:rsidR="00946EC8" w:rsidRPr="00747798" w:rsidRDefault="00946EC8" w:rsidP="00946EC8">
      <w:pPr>
        <w:pBdr>
          <w:top w:val="single" w:sz="6" w:space="1" w:color="auto"/>
          <w:left w:val="single" w:sz="6" w:space="1" w:color="auto"/>
          <w:bottom w:val="single" w:sz="6" w:space="1" w:color="auto"/>
          <w:right w:val="single" w:sz="6" w:space="1" w:color="auto"/>
        </w:pBdr>
        <w:jc w:val="center"/>
        <w:rPr>
          <w:rFonts w:ascii="Calibri" w:eastAsia="Calibri" w:hAnsi="Calibri" w:cs="Calibri"/>
          <w:sz w:val="32"/>
          <w:szCs w:val="32"/>
        </w:rPr>
      </w:pPr>
      <w:r w:rsidRPr="00747798">
        <w:rPr>
          <w:rFonts w:ascii="Calibri" w:eastAsia="Calibri" w:hAnsi="Calibri" w:cs="Calibri"/>
          <w:sz w:val="32"/>
          <w:szCs w:val="32"/>
        </w:rPr>
        <w:t>PRESSEINFORMATION</w:t>
      </w:r>
    </w:p>
    <w:p w14:paraId="15097EF7" w14:textId="743917AE" w:rsidR="00946EC8" w:rsidRDefault="00946EC8" w:rsidP="0059470A">
      <w:pPr>
        <w:tabs>
          <w:tab w:val="left" w:pos="6379"/>
        </w:tabs>
        <w:spacing w:before="480" w:after="360"/>
        <w:ind w:right="-289"/>
        <w:rPr>
          <w:rFonts w:cs="Arial"/>
          <w:b/>
          <w:sz w:val="32"/>
          <w:szCs w:val="32"/>
        </w:rPr>
      </w:pPr>
      <w:r>
        <w:rPr>
          <w:rFonts w:cs="Arial"/>
          <w:b/>
          <w:noProof/>
          <w:sz w:val="32"/>
          <w:szCs w:val="32"/>
          <w:lang w:val="de-AT" w:eastAsia="de-AT"/>
        </w:rPr>
        <w:drawing>
          <wp:anchor distT="0" distB="0" distL="114300" distR="114300" simplePos="0" relativeHeight="251658240" behindDoc="1" locked="0" layoutInCell="1" allowOverlap="1" wp14:anchorId="6873B6BA" wp14:editId="06C5C7D4">
            <wp:simplePos x="0" y="0"/>
            <wp:positionH relativeFrom="column">
              <wp:posOffset>1271270</wp:posOffset>
            </wp:positionH>
            <wp:positionV relativeFrom="paragraph">
              <wp:posOffset>376555</wp:posOffset>
            </wp:positionV>
            <wp:extent cx="3296285" cy="361950"/>
            <wp:effectExtent l="0" t="0" r="0" b="0"/>
            <wp:wrapTight wrapText="bothSides">
              <wp:wrapPolygon edited="0">
                <wp:start x="0" y="0"/>
                <wp:lineTo x="0" y="20463"/>
                <wp:lineTo x="21471" y="20463"/>
                <wp:lineTo x="2147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nkwassertag Schriftzu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6285" cy="361950"/>
                    </a:xfrm>
                    <a:prstGeom prst="rect">
                      <a:avLst/>
                    </a:prstGeom>
                  </pic:spPr>
                </pic:pic>
              </a:graphicData>
            </a:graphic>
            <wp14:sizeRelH relativeFrom="margin">
              <wp14:pctWidth>0</wp14:pctWidth>
            </wp14:sizeRelH>
            <wp14:sizeRelV relativeFrom="margin">
              <wp14:pctHeight>0</wp14:pctHeight>
            </wp14:sizeRelV>
          </wp:anchor>
        </w:drawing>
      </w:r>
    </w:p>
    <w:p w14:paraId="03AD0D20" w14:textId="225A1089" w:rsidR="00946EC8" w:rsidRDefault="00946EC8" w:rsidP="00946EC8">
      <w:pPr>
        <w:tabs>
          <w:tab w:val="left" w:pos="6379"/>
        </w:tabs>
        <w:spacing w:before="480" w:after="360"/>
        <w:ind w:right="-289"/>
        <w:jc w:val="center"/>
        <w:rPr>
          <w:rFonts w:cs="Arial"/>
          <w:b/>
          <w:sz w:val="32"/>
          <w:szCs w:val="32"/>
        </w:rPr>
      </w:pPr>
      <w:r>
        <w:rPr>
          <w:rFonts w:cs="Arial"/>
          <w:b/>
          <w:sz w:val="32"/>
          <w:szCs w:val="32"/>
        </w:rPr>
        <w:t>beim Wasserleitungsverband Nördliches Burgenland</w:t>
      </w:r>
    </w:p>
    <w:p w14:paraId="31B2457D" w14:textId="586DF46B" w:rsidR="0086189C" w:rsidRPr="004E51ED" w:rsidRDefault="004E51ED" w:rsidP="00586A8D">
      <w:pPr>
        <w:spacing w:before="0" w:line="240" w:lineRule="auto"/>
        <w:jc w:val="both"/>
        <w:rPr>
          <w:rFonts w:cs="Arial"/>
          <w:b/>
        </w:rPr>
      </w:pPr>
      <w:r w:rsidRPr="004E51ED">
        <w:rPr>
          <w:rFonts w:cs="Arial"/>
          <w:b/>
        </w:rPr>
        <w:t>Eine sichere Versorgung mit qualitativ hochwertigem Trinkwasser ist im internationalen Vergleich keine Selbstverständlichkeit. Daher beteiligte sich der WLV Nördliches Burgenland auch heuer wieder b</w:t>
      </w:r>
      <w:r w:rsidR="0086189C" w:rsidRPr="004E51ED">
        <w:rPr>
          <w:rFonts w:cs="Arial"/>
          <w:b/>
        </w:rPr>
        <w:t>eim dritten österreichischen TRINK’WASSERTA</w:t>
      </w:r>
      <w:r w:rsidR="0059470A" w:rsidRPr="004E51ED">
        <w:rPr>
          <w:rFonts w:cs="Arial"/>
          <w:b/>
        </w:rPr>
        <w:t>G</w:t>
      </w:r>
      <w:r w:rsidRPr="004E51ED">
        <w:rPr>
          <w:rFonts w:cs="Arial"/>
          <w:b/>
        </w:rPr>
        <w:t xml:space="preserve"> am 15. Juni 2018. In Kooperation mit der Österreichischen Vereinigung für das Gas- und Wasserfach (ÖVGW) </w:t>
      </w:r>
      <w:r w:rsidR="0059470A" w:rsidRPr="004E51ED">
        <w:rPr>
          <w:rFonts w:cs="Arial"/>
          <w:b/>
        </w:rPr>
        <w:t>informier</w:t>
      </w:r>
      <w:r w:rsidRPr="004E51ED">
        <w:rPr>
          <w:rFonts w:cs="Arial"/>
          <w:b/>
        </w:rPr>
        <w:t>t</w:t>
      </w:r>
      <w:r w:rsidR="0059470A" w:rsidRPr="004E51ED">
        <w:rPr>
          <w:rFonts w:cs="Arial"/>
          <w:b/>
        </w:rPr>
        <w:t xml:space="preserve">e </w:t>
      </w:r>
      <w:r w:rsidRPr="004E51ED">
        <w:rPr>
          <w:rFonts w:cs="Arial"/>
          <w:b/>
        </w:rPr>
        <w:t>der WLV NB über seine</w:t>
      </w:r>
      <w:r w:rsidR="0086189C" w:rsidRPr="004E51ED">
        <w:rPr>
          <w:rFonts w:cs="Arial"/>
          <w:b/>
        </w:rPr>
        <w:t xml:space="preserve"> Tätigkeiten und zeig</w:t>
      </w:r>
      <w:r w:rsidRPr="004E51ED">
        <w:rPr>
          <w:rFonts w:cs="Arial"/>
          <w:b/>
        </w:rPr>
        <w:t>t</w:t>
      </w:r>
      <w:r w:rsidR="0086189C" w:rsidRPr="004E51ED">
        <w:rPr>
          <w:rFonts w:cs="Arial"/>
          <w:b/>
        </w:rPr>
        <w:t>e, was hinter einer sicheren und störungsfreien Versorgung mit h</w:t>
      </w:r>
      <w:r w:rsidR="00586A8D" w:rsidRPr="004E51ED">
        <w:rPr>
          <w:rFonts w:cs="Arial"/>
          <w:b/>
        </w:rPr>
        <w:t>ochwertigem Trinkwasser steckt.</w:t>
      </w:r>
      <w:r w:rsidRPr="004E51ED">
        <w:rPr>
          <w:rFonts w:cs="Arial"/>
          <w:b/>
        </w:rPr>
        <w:t xml:space="preserve"> </w:t>
      </w:r>
      <w:r w:rsidR="0086189C" w:rsidRPr="004E51ED">
        <w:rPr>
          <w:rFonts w:cs="Arial"/>
          <w:b/>
        </w:rPr>
        <w:t xml:space="preserve">Der jährliche Aktionstag wurde 2016 von der </w:t>
      </w:r>
      <w:r w:rsidRPr="004E51ED">
        <w:rPr>
          <w:rFonts w:cs="Arial"/>
          <w:b/>
        </w:rPr>
        <w:t xml:space="preserve">ÖVGW </w:t>
      </w:r>
      <w:r w:rsidR="0086189C" w:rsidRPr="004E51ED">
        <w:rPr>
          <w:rFonts w:cs="Arial"/>
          <w:b/>
        </w:rPr>
        <w:t>ins Leben gerufen, um mehr Bewusstsein für den sorgsamen Umgang mit unserem Trinkwasser zu schaffen und die Leistungen der Wasserversorger sichtbar zu machen.</w:t>
      </w:r>
      <w:r w:rsidRPr="004E51ED">
        <w:rPr>
          <w:rFonts w:cs="Arial"/>
          <w:b/>
        </w:rPr>
        <w:t xml:space="preserve"> Auch dieses Jahr war der Aktionstag ein voller Erfolg und viele Schulen nutzten die Möglichkeit hinter die Kulissen eines Wasserversorgers zu blicken.</w:t>
      </w:r>
    </w:p>
    <w:p w14:paraId="2C575825" w14:textId="746CCD27" w:rsidR="00586A8D" w:rsidRPr="004E51ED" w:rsidRDefault="00586A8D" w:rsidP="00586A8D">
      <w:pPr>
        <w:spacing w:before="0" w:line="240" w:lineRule="auto"/>
        <w:jc w:val="both"/>
        <w:rPr>
          <w:rFonts w:cs="Arial"/>
        </w:rPr>
      </w:pPr>
    </w:p>
    <w:p w14:paraId="0D0757BE" w14:textId="6B9464A3" w:rsidR="00586A8D" w:rsidRPr="004E51ED" w:rsidRDefault="00586A8D" w:rsidP="00586A8D">
      <w:pPr>
        <w:spacing w:before="0" w:line="240" w:lineRule="auto"/>
        <w:jc w:val="both"/>
        <w:rPr>
          <w:rFonts w:cs="Arial"/>
          <w:b/>
        </w:rPr>
      </w:pPr>
      <w:r w:rsidRPr="004E51ED">
        <w:rPr>
          <w:rFonts w:cs="Arial"/>
          <w:b/>
        </w:rPr>
        <w:t>Aktivitäten des WLV Nördliches Burgenland</w:t>
      </w:r>
    </w:p>
    <w:p w14:paraId="36E5B907" w14:textId="53D9EDDF" w:rsidR="00586A8D" w:rsidRPr="004E51ED" w:rsidRDefault="00586A8D" w:rsidP="0024486A">
      <w:pPr>
        <w:spacing w:before="0" w:line="240" w:lineRule="auto"/>
        <w:jc w:val="both"/>
        <w:rPr>
          <w:rFonts w:cs="Arial"/>
        </w:rPr>
      </w:pPr>
    </w:p>
    <w:p w14:paraId="07260846" w14:textId="79579215" w:rsidR="0024486A" w:rsidRPr="004E51ED" w:rsidRDefault="0024486A" w:rsidP="0024486A">
      <w:pPr>
        <w:spacing w:before="0" w:line="240" w:lineRule="auto"/>
        <w:jc w:val="both"/>
      </w:pPr>
      <w:r w:rsidRPr="004E51ED">
        <w:t xml:space="preserve">Alle Schulen der Bezirke Mattersburg und Eisenstadt wurden eingeladen, die Zentrale in Eisenstadt (samt Schauraum, Museum und der Schaltwarte) zu besichtigen. Den Schulen aus dem Bezirk Neusiedl wurde </w:t>
      </w:r>
      <w:r w:rsidR="00100678">
        <w:t>die Außenstelle</w:t>
      </w:r>
      <w:r w:rsidRPr="004E51ED">
        <w:t xml:space="preserve"> in Neusiedl zur Schau gestellt. Die fachkundigen Dienstnehmer des WLVNB wussten viel Interessantes zur Funktionsweise der Wasserversorgung im Nordburgenland zu berichten.</w:t>
      </w:r>
    </w:p>
    <w:p w14:paraId="59180DF7" w14:textId="5361C383" w:rsidR="0024486A" w:rsidRPr="004E51ED" w:rsidRDefault="0024486A" w:rsidP="0024486A">
      <w:pPr>
        <w:spacing w:before="0" w:line="240" w:lineRule="auto"/>
        <w:jc w:val="both"/>
      </w:pPr>
      <w:r w:rsidRPr="004E51ED">
        <w:t xml:space="preserve">„Hauptziel des Tages ist es, den Kunden zu vermitteln, welch enormer Aufwand dahintersteckt, bis das erstklassige Trinkwasser aus dem Wasserhahn läuft. Wir wollen damit vor allem das Bewusstsein für die wertvolle Ressource WASSER wecken. Die rund 400 jungen Besucher aus den Schulen bestätigten uns auch in unserem besonderen Engagement für die nächste Generation“, erklärt der Obmann </w:t>
      </w:r>
      <w:r w:rsidR="004E51ED" w:rsidRPr="004E51ED">
        <w:t>des WLV Bgm. Ing. Gerhard Zapfl.</w:t>
      </w:r>
    </w:p>
    <w:p w14:paraId="6A875AED" w14:textId="77777777" w:rsidR="00586A8D" w:rsidRPr="004E51ED" w:rsidRDefault="00586A8D" w:rsidP="0024486A">
      <w:pPr>
        <w:spacing w:before="0" w:line="240" w:lineRule="auto"/>
        <w:jc w:val="both"/>
        <w:rPr>
          <w:rFonts w:cs="Arial"/>
        </w:rPr>
      </w:pPr>
      <w:bookmarkStart w:id="0" w:name="_GoBack"/>
      <w:bookmarkEnd w:id="0"/>
    </w:p>
    <w:p w14:paraId="1F2099AA" w14:textId="2DDD60E1" w:rsidR="0086189C" w:rsidRPr="004E51ED" w:rsidRDefault="0086189C" w:rsidP="00586A8D">
      <w:pPr>
        <w:pStyle w:val="berschrift1"/>
        <w:spacing w:before="0" w:line="240" w:lineRule="auto"/>
        <w:jc w:val="both"/>
        <w:rPr>
          <w:sz w:val="22"/>
          <w:szCs w:val="24"/>
        </w:rPr>
      </w:pPr>
      <w:r w:rsidRPr="004E51ED">
        <w:rPr>
          <w:sz w:val="22"/>
          <w:szCs w:val="24"/>
        </w:rPr>
        <w:t>Österreichische Trinkwasserversorgung: sicher und zuverlässig</w:t>
      </w:r>
    </w:p>
    <w:p w14:paraId="20DA5E9F" w14:textId="77777777" w:rsidR="00586A8D" w:rsidRPr="004E51ED" w:rsidRDefault="00586A8D" w:rsidP="00586A8D">
      <w:pPr>
        <w:rPr>
          <w:sz w:val="20"/>
        </w:rPr>
      </w:pPr>
    </w:p>
    <w:p w14:paraId="40B3CCA6" w14:textId="55645B67" w:rsidR="0086189C" w:rsidRPr="004E51ED" w:rsidRDefault="0086189C" w:rsidP="00586A8D">
      <w:pPr>
        <w:spacing w:before="0" w:line="240" w:lineRule="auto"/>
        <w:jc w:val="both"/>
        <w:rPr>
          <w:rFonts w:cs="Arial"/>
        </w:rPr>
      </w:pPr>
      <w:r w:rsidRPr="004E51ED">
        <w:rPr>
          <w:rFonts w:cs="Arial"/>
        </w:rPr>
        <w:t xml:space="preserve">Rund 5.500 Wasserversorgungsunternehmen </w:t>
      </w:r>
      <w:r w:rsidR="002F274C" w:rsidRPr="004E51ED">
        <w:rPr>
          <w:rFonts w:cs="Arial"/>
        </w:rPr>
        <w:t>arbeiten</w:t>
      </w:r>
      <w:r w:rsidRPr="004E51ED">
        <w:rPr>
          <w:rFonts w:cs="Arial"/>
        </w:rPr>
        <w:t xml:space="preserve"> in Österreich </w:t>
      </w:r>
      <w:r w:rsidR="002F274C" w:rsidRPr="004E51ED">
        <w:rPr>
          <w:rFonts w:cs="Arial"/>
        </w:rPr>
        <w:t>daran</w:t>
      </w:r>
      <w:r w:rsidRPr="004E51ED">
        <w:rPr>
          <w:rFonts w:cs="Arial"/>
        </w:rPr>
        <w:t>, dass rund um die Uhr Trinkwasser in erstklassiger Qualität in unsere Haushalte fließt. Der durchschnittliche Wasserverbrauch pro Kopf liegt in Österreich bei rund 130 Liter</w:t>
      </w:r>
      <w:r w:rsidR="002F274C" w:rsidRPr="004E51ED">
        <w:rPr>
          <w:rFonts w:cs="Arial"/>
        </w:rPr>
        <w:t xml:space="preserve"> pro Tag</w:t>
      </w:r>
      <w:r w:rsidRPr="004E51ED">
        <w:rPr>
          <w:rFonts w:cs="Arial"/>
        </w:rPr>
        <w:t>. Ohne ausgeprägten Außenbereich oder Pool ergibt sich ein Haushaltsverbrauch von ca. 112 Litern pro Einwohner und Tag, wobei der Großteil des Wassers für Hygiene verwendet wird.</w:t>
      </w:r>
    </w:p>
    <w:p w14:paraId="505DD8C9" w14:textId="37F28EB1" w:rsidR="0086189C" w:rsidRPr="004E51ED" w:rsidRDefault="0086189C" w:rsidP="00586A8D">
      <w:pPr>
        <w:spacing w:before="0" w:line="240" w:lineRule="auto"/>
        <w:jc w:val="both"/>
        <w:rPr>
          <w:rFonts w:cs="Arial"/>
        </w:rPr>
      </w:pPr>
      <w:r w:rsidRPr="004E51ED">
        <w:rPr>
          <w:rFonts w:cs="Arial"/>
        </w:rPr>
        <w:t>Um den hohen Standard in der Trinkwasserversorgung zu halten, müssen die in den letzten Jahrzehnten geschaffenen Werte und Infrastrukturen kontinuierlich weiterentwickelt werden. Derzeit werden von den heimischen Wasserversorgern rund 81.000 km Rohrleitungen betrieben, instand</w:t>
      </w:r>
      <w:r w:rsidR="002D29EB" w:rsidRPr="004E51ED">
        <w:rPr>
          <w:rFonts w:cs="Arial"/>
        </w:rPr>
        <w:t xml:space="preserve"> </w:t>
      </w:r>
      <w:r w:rsidRPr="004E51ED">
        <w:rPr>
          <w:rFonts w:cs="Arial"/>
        </w:rPr>
        <w:t xml:space="preserve">gehalten und gewartet. </w:t>
      </w:r>
      <w:r w:rsidR="002F274C" w:rsidRPr="004E51ED">
        <w:rPr>
          <w:rFonts w:cs="Arial"/>
        </w:rPr>
        <w:t>Die Länge des</w:t>
      </w:r>
      <w:r w:rsidRPr="004E51ED">
        <w:rPr>
          <w:rFonts w:cs="Arial"/>
        </w:rPr>
        <w:t xml:space="preserve"> österreichische</w:t>
      </w:r>
      <w:r w:rsidR="002F274C" w:rsidRPr="004E51ED">
        <w:rPr>
          <w:rFonts w:cs="Arial"/>
        </w:rPr>
        <w:t>n</w:t>
      </w:r>
      <w:r w:rsidRPr="004E51ED">
        <w:rPr>
          <w:rFonts w:cs="Arial"/>
        </w:rPr>
        <w:t xml:space="preserve"> Leitungsnetz</w:t>
      </w:r>
      <w:r w:rsidR="002F274C" w:rsidRPr="004E51ED">
        <w:rPr>
          <w:rFonts w:cs="Arial"/>
        </w:rPr>
        <w:t>es</w:t>
      </w:r>
      <w:r w:rsidRPr="004E51ED">
        <w:rPr>
          <w:rFonts w:cs="Arial"/>
        </w:rPr>
        <w:t xml:space="preserve"> entspricht somit etwa der doppelten Strecke um den Äquator. Zudem betreiben und warten die Wasserversorgungsunternehmen 1,44 Mio. Hausanschlussleitungen</w:t>
      </w:r>
      <w:r w:rsidR="0024486A" w:rsidRPr="004E51ED">
        <w:rPr>
          <w:rFonts w:cs="Arial"/>
        </w:rPr>
        <w:t xml:space="preserve"> und ebenso viele Wasserzähler.</w:t>
      </w:r>
    </w:p>
    <w:p w14:paraId="6F58DB8A" w14:textId="77777777" w:rsidR="0024486A" w:rsidRPr="004E51ED" w:rsidRDefault="0024486A" w:rsidP="00586A8D">
      <w:pPr>
        <w:spacing w:before="0" w:line="240" w:lineRule="auto"/>
        <w:jc w:val="both"/>
        <w:rPr>
          <w:rFonts w:cs="Arial"/>
        </w:rPr>
      </w:pPr>
    </w:p>
    <w:p w14:paraId="18F98353" w14:textId="3EEB22A9" w:rsidR="00673E28" w:rsidRPr="004E51ED" w:rsidRDefault="003870E7" w:rsidP="00586A8D">
      <w:pPr>
        <w:pStyle w:val="berschrift1"/>
        <w:spacing w:before="0" w:line="240" w:lineRule="auto"/>
        <w:jc w:val="both"/>
        <w:rPr>
          <w:sz w:val="22"/>
          <w:szCs w:val="24"/>
        </w:rPr>
      </w:pPr>
      <w:r w:rsidRPr="004E51ED">
        <w:rPr>
          <w:sz w:val="22"/>
          <w:szCs w:val="24"/>
        </w:rPr>
        <w:t>Burgenland: Bestehende Versorgungsstrukturen gewährleisten einwandfreie Trinkwasserversorgung</w:t>
      </w:r>
    </w:p>
    <w:p w14:paraId="5D9D8C07" w14:textId="77777777" w:rsidR="0024486A" w:rsidRPr="004E51ED" w:rsidRDefault="0024486A" w:rsidP="0024486A">
      <w:pPr>
        <w:rPr>
          <w:sz w:val="20"/>
        </w:rPr>
      </w:pPr>
    </w:p>
    <w:p w14:paraId="25E388FD" w14:textId="77777777" w:rsidR="003870E7" w:rsidRPr="004E51ED" w:rsidRDefault="003870E7" w:rsidP="00586A8D">
      <w:pPr>
        <w:spacing w:before="0" w:line="240" w:lineRule="auto"/>
        <w:jc w:val="both"/>
        <w:rPr>
          <w:rFonts w:cs="Arial"/>
        </w:rPr>
      </w:pPr>
      <w:r w:rsidRPr="004E51ED">
        <w:rPr>
          <w:rFonts w:cs="Arial"/>
        </w:rPr>
        <w:t>Die Trinkwasserversorgung Burgenlands erfolgt zu 90 % aus Grundwasser und 10 % aus Quellwasser. Die mächtigen oberflächennahen Schotterkörper mit ihrem ergiebigen Grundwasser sichern die Versorgung im Norden des Landes. An den Rändern des Günser Gebirges sowie des Leithagebirges treten Quellwasser zu Tage. Im südlichen und mittleren Burgenland kommt dem Grundwasser aus großer Tiefe hohe Bedeutung für die Wasserversorgung zu. Die bestehenden Versorgungsstrukturen gewährleisten heute eine einwandfreie Trinkwasserversorgung für das Bundesland und sind geeignet für eine sichere Versorgung in der Zukunft.</w:t>
      </w:r>
    </w:p>
    <w:p w14:paraId="23E9F558" w14:textId="77777777" w:rsidR="000C5807" w:rsidRPr="004E51ED" w:rsidRDefault="000C5807" w:rsidP="00586A8D">
      <w:pPr>
        <w:spacing w:before="0" w:line="240" w:lineRule="auto"/>
        <w:jc w:val="both"/>
        <w:rPr>
          <w:rStyle w:val="Hyperlink"/>
          <w:rFonts w:cs="Arial"/>
          <w:color w:val="auto"/>
          <w:u w:val="none"/>
        </w:rPr>
      </w:pPr>
    </w:p>
    <w:p w14:paraId="58C8A1B6" w14:textId="459157DF" w:rsidR="00673E28" w:rsidRPr="004E51ED" w:rsidRDefault="00673E28" w:rsidP="00586A8D">
      <w:pPr>
        <w:pStyle w:val="berschrift1"/>
        <w:spacing w:before="0" w:line="240" w:lineRule="auto"/>
        <w:jc w:val="both"/>
        <w:rPr>
          <w:sz w:val="22"/>
          <w:szCs w:val="24"/>
        </w:rPr>
      </w:pPr>
      <w:r w:rsidRPr="004E51ED">
        <w:rPr>
          <w:sz w:val="22"/>
          <w:szCs w:val="24"/>
        </w:rPr>
        <w:t>Daten und Fakten zur österreichischen Trinkwasserwirtschaft</w:t>
      </w:r>
    </w:p>
    <w:p w14:paraId="73E4EDDC" w14:textId="77777777" w:rsidR="0024486A" w:rsidRPr="004E51ED" w:rsidRDefault="0024486A" w:rsidP="0024486A">
      <w:pPr>
        <w:rPr>
          <w:sz w:val="20"/>
        </w:rPr>
      </w:pPr>
    </w:p>
    <w:p w14:paraId="6151EE35" w14:textId="256101FD" w:rsidR="00673E28" w:rsidRPr="004E51ED" w:rsidRDefault="00673E28" w:rsidP="0024486A">
      <w:pPr>
        <w:pStyle w:val="ListeLevel1"/>
        <w:numPr>
          <w:ilvl w:val="0"/>
          <w:numId w:val="22"/>
        </w:numPr>
        <w:spacing w:before="0"/>
        <w:ind w:left="426" w:hanging="426"/>
        <w:rPr>
          <w:rFonts w:ascii="Arial" w:hAnsi="Arial" w:cs="Arial"/>
          <w:b/>
          <w:sz w:val="22"/>
          <w:szCs w:val="24"/>
        </w:rPr>
      </w:pPr>
      <w:r w:rsidRPr="004E51ED">
        <w:rPr>
          <w:rFonts w:ascii="Arial" w:hAnsi="Arial" w:cs="Arial"/>
          <w:b/>
          <w:sz w:val="22"/>
          <w:szCs w:val="24"/>
        </w:rPr>
        <w:t>Herkunft des Trinkwassers</w:t>
      </w:r>
      <w:r w:rsidRPr="004E51ED">
        <w:rPr>
          <w:rFonts w:ascii="Arial" w:hAnsi="Arial" w:cs="Arial"/>
          <w:b/>
          <w:sz w:val="22"/>
          <w:szCs w:val="24"/>
        </w:rPr>
        <w:br/>
      </w:r>
      <w:r w:rsidRPr="004E51ED">
        <w:rPr>
          <w:rFonts w:ascii="Arial" w:hAnsi="Arial" w:cs="Arial"/>
          <w:sz w:val="22"/>
          <w:szCs w:val="24"/>
        </w:rPr>
        <w:t>Österreich bezieht sein Trinkwasser zu 100 % aus Grund- und Quellwasser.</w:t>
      </w:r>
    </w:p>
    <w:p w14:paraId="1595FFB5" w14:textId="77777777" w:rsidR="0024486A" w:rsidRPr="004E51ED" w:rsidRDefault="0024486A" w:rsidP="0024486A">
      <w:pPr>
        <w:pStyle w:val="ListeLevel1"/>
        <w:numPr>
          <w:ilvl w:val="0"/>
          <w:numId w:val="0"/>
        </w:numPr>
        <w:spacing w:before="0"/>
        <w:ind w:left="426"/>
        <w:rPr>
          <w:rFonts w:ascii="Arial" w:hAnsi="Arial" w:cs="Arial"/>
          <w:b/>
          <w:sz w:val="22"/>
          <w:szCs w:val="24"/>
        </w:rPr>
      </w:pPr>
    </w:p>
    <w:p w14:paraId="7DA194FC" w14:textId="367F9075" w:rsidR="00B533A3" w:rsidRPr="004E51ED" w:rsidRDefault="00673E28" w:rsidP="00586A8D">
      <w:pPr>
        <w:pStyle w:val="ListeLevel1"/>
        <w:numPr>
          <w:ilvl w:val="0"/>
          <w:numId w:val="22"/>
        </w:numPr>
        <w:spacing w:before="0"/>
        <w:ind w:left="426" w:hanging="426"/>
        <w:jc w:val="both"/>
        <w:rPr>
          <w:rFonts w:ascii="Arial" w:hAnsi="Arial" w:cs="Arial"/>
          <w:sz w:val="22"/>
          <w:szCs w:val="24"/>
        </w:rPr>
      </w:pPr>
      <w:r w:rsidRPr="004E51ED">
        <w:rPr>
          <w:rFonts w:ascii="Arial" w:hAnsi="Arial" w:cs="Arial"/>
          <w:b/>
          <w:sz w:val="22"/>
          <w:szCs w:val="24"/>
        </w:rPr>
        <w:t xml:space="preserve">Wasserversorgungsunternehmen </w:t>
      </w:r>
      <w:r w:rsidRPr="004E51ED">
        <w:rPr>
          <w:rFonts w:ascii="Arial" w:hAnsi="Arial" w:cs="Arial"/>
          <w:b/>
          <w:sz w:val="22"/>
          <w:szCs w:val="24"/>
        </w:rPr>
        <w:br/>
      </w:r>
      <w:r w:rsidRPr="004E51ED">
        <w:rPr>
          <w:rFonts w:ascii="Arial" w:hAnsi="Arial" w:cs="Arial"/>
          <w:sz w:val="22"/>
          <w:szCs w:val="24"/>
        </w:rPr>
        <w:t>In Österreich gibt es rund 5.500 Wasserversorgungsunternehmen, die 91,8 % der Bevölkerung zentral mit Trinkwasser versorgen.</w:t>
      </w:r>
    </w:p>
    <w:p w14:paraId="56D599D7" w14:textId="77777777" w:rsidR="0024486A" w:rsidRPr="004E51ED" w:rsidRDefault="0024486A" w:rsidP="0024486A">
      <w:pPr>
        <w:pStyle w:val="ListeLevel1"/>
        <w:numPr>
          <w:ilvl w:val="0"/>
          <w:numId w:val="0"/>
        </w:numPr>
        <w:spacing w:before="0"/>
        <w:ind w:left="426"/>
        <w:jc w:val="both"/>
        <w:rPr>
          <w:rFonts w:ascii="Arial" w:hAnsi="Arial" w:cs="Arial"/>
          <w:sz w:val="22"/>
          <w:szCs w:val="24"/>
        </w:rPr>
      </w:pPr>
    </w:p>
    <w:p w14:paraId="7F2FF3E4" w14:textId="33FF49B9" w:rsidR="00673E28" w:rsidRPr="004E51ED" w:rsidRDefault="00673E28" w:rsidP="00586A8D">
      <w:pPr>
        <w:pStyle w:val="ListeLevel1"/>
        <w:numPr>
          <w:ilvl w:val="0"/>
          <w:numId w:val="22"/>
        </w:numPr>
        <w:spacing w:before="0"/>
        <w:ind w:left="426" w:hanging="426"/>
        <w:jc w:val="both"/>
        <w:rPr>
          <w:rFonts w:ascii="Arial" w:hAnsi="Arial" w:cs="Arial"/>
          <w:b/>
          <w:sz w:val="22"/>
          <w:szCs w:val="24"/>
        </w:rPr>
      </w:pPr>
      <w:r w:rsidRPr="004E51ED">
        <w:rPr>
          <w:rFonts w:ascii="Arial" w:hAnsi="Arial" w:cs="Arial"/>
          <w:b/>
          <w:sz w:val="22"/>
          <w:szCs w:val="24"/>
        </w:rPr>
        <w:t>Gewinnung</w:t>
      </w:r>
      <w:r w:rsidRPr="004E51ED">
        <w:rPr>
          <w:rFonts w:ascii="Arial" w:hAnsi="Arial" w:cs="Arial"/>
          <w:b/>
          <w:sz w:val="22"/>
          <w:szCs w:val="24"/>
        </w:rPr>
        <w:br/>
      </w:r>
      <w:r w:rsidRPr="004E51ED">
        <w:rPr>
          <w:rFonts w:ascii="Arial" w:hAnsi="Arial" w:cs="Arial"/>
          <w:sz w:val="22"/>
          <w:szCs w:val="24"/>
        </w:rPr>
        <w:t>Pro Jahr werden von den Wasserversorgern rund 800 Mio. m³ Trinkwasser aus Brunnen und Quellen gewonnen.</w:t>
      </w:r>
    </w:p>
    <w:p w14:paraId="63BC0503" w14:textId="455B3A11" w:rsidR="0024486A" w:rsidRPr="004E51ED" w:rsidRDefault="0024486A" w:rsidP="0024486A">
      <w:pPr>
        <w:pStyle w:val="ListeLevel1"/>
        <w:numPr>
          <w:ilvl w:val="0"/>
          <w:numId w:val="0"/>
        </w:numPr>
        <w:spacing w:before="0"/>
        <w:jc w:val="both"/>
        <w:rPr>
          <w:rFonts w:ascii="Arial" w:hAnsi="Arial" w:cs="Arial"/>
          <w:b/>
          <w:sz w:val="22"/>
          <w:szCs w:val="24"/>
        </w:rPr>
      </w:pPr>
    </w:p>
    <w:p w14:paraId="0B1E148D" w14:textId="40193E24" w:rsidR="00673E28" w:rsidRPr="004E51ED" w:rsidRDefault="00673E28" w:rsidP="0024486A">
      <w:pPr>
        <w:pStyle w:val="ListeLevel1"/>
        <w:numPr>
          <w:ilvl w:val="0"/>
          <w:numId w:val="22"/>
        </w:numPr>
        <w:spacing w:before="0"/>
        <w:ind w:left="426" w:hanging="426"/>
        <w:jc w:val="both"/>
        <w:rPr>
          <w:rFonts w:ascii="Arial" w:hAnsi="Arial" w:cs="Arial"/>
          <w:b/>
          <w:sz w:val="22"/>
          <w:szCs w:val="24"/>
        </w:rPr>
      </w:pPr>
      <w:r w:rsidRPr="004E51ED">
        <w:rPr>
          <w:rFonts w:ascii="Arial" w:hAnsi="Arial" w:cs="Arial"/>
          <w:b/>
          <w:sz w:val="22"/>
          <w:szCs w:val="24"/>
        </w:rPr>
        <w:t>Speicherung</w:t>
      </w:r>
      <w:r w:rsidRPr="004E51ED">
        <w:rPr>
          <w:rFonts w:ascii="Arial" w:hAnsi="Arial" w:cs="Arial"/>
          <w:b/>
          <w:sz w:val="22"/>
          <w:szCs w:val="24"/>
        </w:rPr>
        <w:br/>
      </w:r>
      <w:r w:rsidRPr="004E51ED">
        <w:rPr>
          <w:rFonts w:ascii="Arial" w:hAnsi="Arial" w:cs="Arial"/>
          <w:sz w:val="22"/>
          <w:szCs w:val="24"/>
        </w:rPr>
        <w:t>Das Gesamtvolumen der Wasserbehälter in Österreich beträgt rund 4,1 Mio. m³. Pro zentral versorgtem Einwohner stehen zwischen 400 und 700 Liter gespeichertes Trinkwasser zur Verfügung.</w:t>
      </w:r>
    </w:p>
    <w:p w14:paraId="2371CAFD" w14:textId="77777777" w:rsidR="0024486A" w:rsidRPr="004E51ED" w:rsidRDefault="0024486A" w:rsidP="0024486A">
      <w:pPr>
        <w:pStyle w:val="ListeLevel1"/>
        <w:numPr>
          <w:ilvl w:val="0"/>
          <w:numId w:val="0"/>
        </w:numPr>
        <w:spacing w:before="0"/>
        <w:ind w:left="426"/>
        <w:jc w:val="both"/>
        <w:rPr>
          <w:rFonts w:ascii="Arial" w:hAnsi="Arial" w:cs="Arial"/>
          <w:b/>
          <w:sz w:val="22"/>
          <w:szCs w:val="24"/>
        </w:rPr>
      </w:pPr>
    </w:p>
    <w:p w14:paraId="5B97CDEB" w14:textId="62D8A5E0" w:rsidR="00673E28" w:rsidRPr="004E51ED" w:rsidRDefault="00673E28" w:rsidP="00586A8D">
      <w:pPr>
        <w:pStyle w:val="ListeLevel1"/>
        <w:numPr>
          <w:ilvl w:val="0"/>
          <w:numId w:val="22"/>
        </w:numPr>
        <w:spacing w:before="0"/>
        <w:ind w:left="426" w:hanging="426"/>
        <w:jc w:val="both"/>
        <w:rPr>
          <w:rFonts w:ascii="Arial" w:hAnsi="Arial" w:cs="Arial"/>
          <w:b/>
          <w:sz w:val="22"/>
          <w:szCs w:val="24"/>
        </w:rPr>
      </w:pPr>
      <w:r w:rsidRPr="004E51ED">
        <w:rPr>
          <w:rFonts w:ascii="Arial" w:hAnsi="Arial" w:cs="Arial"/>
          <w:b/>
          <w:sz w:val="22"/>
          <w:szCs w:val="24"/>
        </w:rPr>
        <w:t>Leitungsnetz</w:t>
      </w:r>
      <w:r w:rsidRPr="004E51ED">
        <w:rPr>
          <w:rFonts w:ascii="Arial" w:hAnsi="Arial" w:cs="Arial"/>
          <w:b/>
          <w:sz w:val="22"/>
          <w:szCs w:val="24"/>
        </w:rPr>
        <w:br/>
      </w:r>
      <w:r w:rsidRPr="004E51ED">
        <w:rPr>
          <w:rFonts w:ascii="Arial" w:hAnsi="Arial" w:cs="Arial"/>
          <w:sz w:val="22"/>
          <w:szCs w:val="24"/>
        </w:rPr>
        <w:t>Das österreichische Wasserleitungsnetz ist derzeit rund 81.000 km lang.</w:t>
      </w:r>
    </w:p>
    <w:p w14:paraId="2C607A30" w14:textId="7FA00352" w:rsidR="0024486A" w:rsidRPr="004E51ED" w:rsidRDefault="0024486A" w:rsidP="0024486A">
      <w:pPr>
        <w:pStyle w:val="ListeLevel1"/>
        <w:numPr>
          <w:ilvl w:val="0"/>
          <w:numId w:val="0"/>
        </w:numPr>
        <w:spacing w:before="0"/>
        <w:jc w:val="both"/>
        <w:rPr>
          <w:rFonts w:ascii="Arial" w:hAnsi="Arial" w:cs="Arial"/>
          <w:b/>
          <w:sz w:val="22"/>
          <w:szCs w:val="24"/>
        </w:rPr>
      </w:pPr>
    </w:p>
    <w:p w14:paraId="72FDF8DF" w14:textId="77777777" w:rsidR="004E51ED" w:rsidRDefault="00673E28" w:rsidP="004E51ED">
      <w:pPr>
        <w:pStyle w:val="ListeLevel1"/>
        <w:numPr>
          <w:ilvl w:val="0"/>
          <w:numId w:val="22"/>
        </w:numPr>
        <w:spacing w:before="0"/>
        <w:ind w:left="426" w:hanging="426"/>
        <w:rPr>
          <w:rFonts w:ascii="Arial" w:hAnsi="Arial" w:cs="Arial"/>
          <w:b/>
          <w:sz w:val="22"/>
          <w:szCs w:val="24"/>
        </w:rPr>
      </w:pPr>
      <w:r w:rsidRPr="004E51ED">
        <w:rPr>
          <w:rFonts w:ascii="Arial" w:hAnsi="Arial" w:cs="Arial"/>
          <w:b/>
          <w:sz w:val="22"/>
          <w:szCs w:val="24"/>
        </w:rPr>
        <w:t>Wasserverwendung im Haushalt</w:t>
      </w:r>
    </w:p>
    <w:p w14:paraId="11404143" w14:textId="6BC801E7" w:rsidR="00673E28" w:rsidRPr="004E51ED" w:rsidRDefault="00673E28" w:rsidP="004E51ED">
      <w:pPr>
        <w:pStyle w:val="ListeLevel1"/>
        <w:numPr>
          <w:ilvl w:val="0"/>
          <w:numId w:val="0"/>
        </w:numPr>
        <w:spacing w:before="0"/>
        <w:ind w:left="426"/>
        <w:jc w:val="both"/>
        <w:rPr>
          <w:rFonts w:ascii="Arial" w:hAnsi="Arial" w:cs="Arial"/>
          <w:b/>
          <w:sz w:val="22"/>
          <w:szCs w:val="24"/>
        </w:rPr>
      </w:pPr>
      <w:r w:rsidRPr="004E51ED">
        <w:rPr>
          <w:rFonts w:ascii="Arial" w:hAnsi="Arial" w:cs="Arial"/>
          <w:sz w:val="22"/>
          <w:szCs w:val="24"/>
        </w:rPr>
        <w:t>Bezogen auf einen Einwohner wurden im Jahr 2016 in Österreich laut ÖVGW-Statistik 183 Liter Trinkwasser pro Tag an die Verbrauchsgruppen Haushalt, Gewerbe und Industrie abgegeben. Der reine Ha</w:t>
      </w:r>
      <w:r w:rsidR="0024486A" w:rsidRPr="004E51ED">
        <w:rPr>
          <w:rFonts w:ascii="Arial" w:hAnsi="Arial" w:cs="Arial"/>
          <w:sz w:val="22"/>
          <w:szCs w:val="24"/>
        </w:rPr>
        <w:t>ushaltsbezug liegt bei etwa 130</w:t>
      </w:r>
      <w:r w:rsidR="004E51ED" w:rsidRPr="004E51ED">
        <w:rPr>
          <w:rFonts w:ascii="Arial" w:hAnsi="Arial" w:cs="Arial"/>
          <w:sz w:val="22"/>
          <w:szCs w:val="24"/>
        </w:rPr>
        <w:t> </w:t>
      </w:r>
      <w:r w:rsidRPr="004E51ED">
        <w:rPr>
          <w:rFonts w:ascii="Arial" w:hAnsi="Arial" w:cs="Arial"/>
          <w:sz w:val="22"/>
          <w:szCs w:val="24"/>
        </w:rPr>
        <w:t>l / Einwohner und Tag.</w:t>
      </w:r>
    </w:p>
    <w:p w14:paraId="3BF0AA05" w14:textId="77777777" w:rsidR="00B533A3" w:rsidRPr="004E51ED" w:rsidRDefault="00B533A3" w:rsidP="00586A8D">
      <w:pPr>
        <w:pStyle w:val="Formatvorlage11PtBlockVor0PtZeilenabstand15Zeilen"/>
        <w:spacing w:line="240" w:lineRule="auto"/>
        <w:jc w:val="both"/>
        <w:rPr>
          <w:rFonts w:cs="Arial"/>
          <w:szCs w:val="24"/>
        </w:rPr>
      </w:pPr>
    </w:p>
    <w:p w14:paraId="1ED8119D" w14:textId="4C24D448" w:rsidR="00B533A3" w:rsidRPr="004E51ED" w:rsidRDefault="00B533A3" w:rsidP="00586A8D">
      <w:pPr>
        <w:pStyle w:val="berschrift1"/>
        <w:spacing w:before="0" w:line="240" w:lineRule="auto"/>
        <w:jc w:val="both"/>
        <w:rPr>
          <w:sz w:val="22"/>
          <w:szCs w:val="24"/>
        </w:rPr>
      </w:pPr>
      <w:r w:rsidRPr="004E51ED">
        <w:rPr>
          <w:sz w:val="22"/>
          <w:szCs w:val="24"/>
        </w:rPr>
        <w:t>Über die ÖVGW</w:t>
      </w:r>
    </w:p>
    <w:p w14:paraId="6228875B" w14:textId="49AFC31E" w:rsidR="00B533A3" w:rsidRPr="004E51ED" w:rsidRDefault="00B533A3" w:rsidP="00586A8D">
      <w:pPr>
        <w:spacing w:before="0" w:line="240" w:lineRule="auto"/>
        <w:jc w:val="both"/>
        <w:rPr>
          <w:rFonts w:cs="Arial"/>
        </w:rPr>
      </w:pPr>
      <w:r w:rsidRPr="004E51ED">
        <w:rPr>
          <w:rFonts w:cs="Arial"/>
        </w:rPr>
        <w:t xml:space="preserve">Die Österreichische Vereinigung für das Gas- und Wasserfach (ÖVGW) ist die freiwillige Vertretung der österreichischen Gasnetzbetreiber und Wasserversorgungsunternehmen. Sie zählt alle Gasnetzbetreiber und rund 250 Unternehmen im Wasserbereich zu ihren Mitgliedern. Über Kooperationen mit Landesverbänden vertritt die ÖVGW mehr als 1.500 Wasserversorger. Diese beliefern knapp 6,4 Millionen Menschen bzw. rund 80 % der Bevölkerung mit Trinkwasser. </w:t>
      </w:r>
    </w:p>
    <w:p w14:paraId="47DD874C" w14:textId="556FCCC0" w:rsidR="00B533A3" w:rsidRPr="004E51ED" w:rsidRDefault="00224768" w:rsidP="00586A8D">
      <w:pPr>
        <w:spacing w:before="0" w:line="240" w:lineRule="auto"/>
        <w:jc w:val="both"/>
        <w:rPr>
          <w:rStyle w:val="Hyperlink"/>
          <w:rFonts w:cs="Arial"/>
          <w:color w:val="1F497D" w:themeColor="text2"/>
        </w:rPr>
      </w:pPr>
      <w:hyperlink r:id="rId10" w:history="1">
        <w:r w:rsidR="00B533A3" w:rsidRPr="004E51ED">
          <w:rPr>
            <w:rStyle w:val="Hyperlink"/>
            <w:rFonts w:cs="Arial"/>
            <w:color w:val="1F497D" w:themeColor="text2"/>
          </w:rPr>
          <w:t>www.ovgw.at</w:t>
        </w:r>
      </w:hyperlink>
    </w:p>
    <w:p w14:paraId="3D0EBFEF" w14:textId="79E61A06" w:rsidR="0024486A" w:rsidRPr="004E51ED" w:rsidRDefault="0024486A" w:rsidP="00586A8D">
      <w:pPr>
        <w:spacing w:before="0" w:line="240" w:lineRule="auto"/>
        <w:jc w:val="both"/>
        <w:rPr>
          <w:rStyle w:val="Hyperlink"/>
          <w:rFonts w:cs="Arial"/>
          <w:color w:val="1F497D" w:themeColor="text2"/>
        </w:rPr>
      </w:pPr>
    </w:p>
    <w:p w14:paraId="7AC40962" w14:textId="77777777" w:rsidR="0024486A" w:rsidRPr="004E51ED" w:rsidRDefault="0024486A" w:rsidP="0024486A">
      <w:pPr>
        <w:spacing w:before="0" w:line="240" w:lineRule="auto"/>
        <w:jc w:val="both"/>
        <w:rPr>
          <w:b/>
          <w:kern w:val="22"/>
        </w:rPr>
      </w:pPr>
      <w:r w:rsidRPr="004E51ED">
        <w:rPr>
          <w:b/>
          <w:kern w:val="22"/>
        </w:rPr>
        <w:t>Ausführliche Informationen zum TRINK´WASSERTAG und den geplanten Veranstaltungen in ganz Österreich finden Sie unter:</w:t>
      </w:r>
    </w:p>
    <w:p w14:paraId="4DA8E13F" w14:textId="77777777" w:rsidR="0024486A" w:rsidRPr="004E51ED" w:rsidRDefault="00224768" w:rsidP="0024486A">
      <w:pPr>
        <w:spacing w:before="0" w:line="240" w:lineRule="auto"/>
        <w:jc w:val="both"/>
        <w:rPr>
          <w:rFonts w:cs="Arial"/>
        </w:rPr>
      </w:pPr>
      <w:hyperlink r:id="rId11" w:history="1">
        <w:r w:rsidR="0024486A" w:rsidRPr="004E51ED">
          <w:rPr>
            <w:rStyle w:val="Hyperlink"/>
            <w:rFonts w:cs="Arial"/>
          </w:rPr>
          <w:t>www.trinkwassertag.at</w:t>
        </w:r>
      </w:hyperlink>
    </w:p>
    <w:p w14:paraId="0B814F18" w14:textId="37D14908" w:rsidR="0024486A" w:rsidRDefault="0024486A" w:rsidP="00586A8D">
      <w:pPr>
        <w:spacing w:before="0" w:line="240" w:lineRule="auto"/>
        <w:jc w:val="both"/>
      </w:pPr>
    </w:p>
    <w:p w14:paraId="72EB8528" w14:textId="506033C9" w:rsidR="004E51ED" w:rsidRPr="004E51ED" w:rsidRDefault="004E51ED" w:rsidP="00586A8D">
      <w:pPr>
        <w:spacing w:before="0" w:line="240" w:lineRule="auto"/>
        <w:jc w:val="both"/>
        <w:rPr>
          <w:b/>
        </w:rPr>
      </w:pPr>
    </w:p>
    <w:p w14:paraId="495BEA33" w14:textId="77777777" w:rsidR="004E51ED" w:rsidRDefault="004E51ED" w:rsidP="00586A8D">
      <w:pPr>
        <w:spacing w:before="0" w:line="240" w:lineRule="auto"/>
        <w:jc w:val="both"/>
      </w:pPr>
      <w:r w:rsidRPr="004E51ED">
        <w:rPr>
          <w:b/>
        </w:rPr>
        <w:t>Rückfragehinweis:</w:t>
      </w:r>
    </w:p>
    <w:p w14:paraId="15AF815C" w14:textId="66348084" w:rsidR="004E51ED" w:rsidRPr="004E51ED" w:rsidRDefault="004E51ED" w:rsidP="00586A8D">
      <w:pPr>
        <w:spacing w:before="0" w:line="240" w:lineRule="auto"/>
        <w:jc w:val="both"/>
      </w:pPr>
      <w:r>
        <w:t>Obmann Bgm. Ing. Gerhard Zapfl steht unter 0664 / 264 51 04 gerne zur Verfügung!</w:t>
      </w:r>
    </w:p>
    <w:sectPr w:rsidR="004E51ED" w:rsidRPr="004E51ED" w:rsidSect="00946EC8">
      <w:headerReference w:type="first" r:id="rId12"/>
      <w:pgSz w:w="11906" w:h="16838" w:code="9"/>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9A974" w14:textId="77777777" w:rsidR="00942295" w:rsidRDefault="00942295">
      <w:r>
        <w:separator/>
      </w:r>
    </w:p>
  </w:endnote>
  <w:endnote w:type="continuationSeparator" w:id="0">
    <w:p w14:paraId="4193091C" w14:textId="77777777" w:rsidR="00942295" w:rsidRDefault="0094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75215" w14:textId="77777777" w:rsidR="00942295" w:rsidRDefault="00942295">
      <w:r>
        <w:separator/>
      </w:r>
    </w:p>
  </w:footnote>
  <w:footnote w:type="continuationSeparator" w:id="0">
    <w:p w14:paraId="36606BC9" w14:textId="77777777" w:rsidR="00942295" w:rsidRDefault="00942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4260"/>
      <w:gridCol w:w="4244"/>
    </w:tblGrid>
    <w:tr w:rsidR="00D3661C" w14:paraId="297286C5" w14:textId="77777777">
      <w:tc>
        <w:tcPr>
          <w:tcW w:w="4322" w:type="dxa"/>
        </w:tcPr>
        <w:p w14:paraId="25876856" w14:textId="77777777" w:rsidR="00D3661C" w:rsidRDefault="00E419FB">
          <w:pPr>
            <w:pStyle w:val="Kopfzeile"/>
            <w:spacing w:before="280"/>
          </w:pPr>
          <w:r>
            <w:rPr>
              <w:noProof/>
              <w:lang w:val="de-AT" w:eastAsia="de-AT"/>
            </w:rPr>
            <w:drawing>
              <wp:inline distT="0" distB="0" distL="0" distR="0" wp14:anchorId="25E938D7" wp14:editId="7F366419">
                <wp:extent cx="1062355" cy="549910"/>
                <wp:effectExtent l="0" t="0" r="4445" b="2540"/>
                <wp:docPr id="2" name="Bild 2"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55" cy="549910"/>
                        </a:xfrm>
                        <a:prstGeom prst="rect">
                          <a:avLst/>
                        </a:prstGeom>
                        <a:noFill/>
                        <a:ln>
                          <a:noFill/>
                        </a:ln>
                      </pic:spPr>
                    </pic:pic>
                  </a:graphicData>
                </a:graphic>
              </wp:inline>
            </w:drawing>
          </w:r>
        </w:p>
      </w:tc>
      <w:tc>
        <w:tcPr>
          <w:tcW w:w="4322" w:type="dxa"/>
        </w:tcPr>
        <w:p w14:paraId="56BA66CF" w14:textId="77777777" w:rsidR="00D3661C" w:rsidRDefault="00D3661C">
          <w:pPr>
            <w:pStyle w:val="Kopfzeile"/>
            <w:spacing w:before="360" w:line="240" w:lineRule="auto"/>
            <w:ind w:right="-62"/>
            <w:rPr>
              <w:rFonts w:ascii="Century Gothic" w:hAnsi="Century Gothic"/>
              <w:color w:val="333333"/>
              <w:sz w:val="14"/>
            </w:rPr>
          </w:pPr>
          <w:r>
            <w:rPr>
              <w:rFonts w:ascii="Century Gothic" w:hAnsi="Century Gothic"/>
              <w:color w:val="333333"/>
              <w:sz w:val="14"/>
            </w:rPr>
            <w:t>Österreichische Vereinigung für das Gas- und Wasserfach</w:t>
          </w:r>
        </w:p>
        <w:p w14:paraId="4806FC8C" w14:textId="77777777" w:rsidR="00D3661C" w:rsidRDefault="00DE5C60">
          <w:pPr>
            <w:pStyle w:val="Kopfzeile"/>
            <w:spacing w:before="0" w:line="240" w:lineRule="auto"/>
            <w:ind w:right="-62"/>
            <w:rPr>
              <w:rFonts w:ascii="Century Gothic" w:hAnsi="Century Gothic"/>
              <w:color w:val="333333"/>
              <w:sz w:val="14"/>
            </w:rPr>
          </w:pPr>
          <w:r>
            <w:rPr>
              <w:rFonts w:ascii="Century Gothic" w:hAnsi="Century Gothic"/>
              <w:color w:val="333333"/>
              <w:sz w:val="14"/>
            </w:rPr>
            <w:t>A-1010</w:t>
          </w:r>
          <w:r w:rsidR="00D3661C">
            <w:rPr>
              <w:rFonts w:ascii="Century Gothic" w:hAnsi="Century Gothic"/>
              <w:color w:val="333333"/>
              <w:sz w:val="14"/>
            </w:rPr>
            <w:t xml:space="preserve"> Wien, Schubertring 14 </w:t>
          </w:r>
        </w:p>
        <w:p w14:paraId="4F136F89" w14:textId="77777777" w:rsidR="00D3661C" w:rsidRDefault="00D3661C">
          <w:pPr>
            <w:pStyle w:val="Kopfzeile"/>
            <w:tabs>
              <w:tab w:val="clear" w:pos="4536"/>
            </w:tabs>
            <w:spacing w:before="0" w:line="240" w:lineRule="auto"/>
            <w:ind w:right="-62"/>
            <w:rPr>
              <w:rFonts w:ascii="Century Gothic" w:hAnsi="Century Gothic"/>
              <w:color w:val="333333"/>
              <w:sz w:val="14"/>
            </w:rPr>
          </w:pPr>
          <w:r>
            <w:rPr>
              <w:rFonts w:ascii="Century Gothic" w:hAnsi="Century Gothic"/>
              <w:color w:val="333333"/>
              <w:sz w:val="14"/>
            </w:rPr>
            <w:t>Telefon:  +43 / 1 / 513 15 88-0*  /  Telefax:  +43 / 1 / 513 15 88-25</w:t>
          </w:r>
        </w:p>
        <w:p w14:paraId="37AAAB18" w14:textId="77777777" w:rsidR="00D3661C" w:rsidRDefault="00D3661C">
          <w:pPr>
            <w:pStyle w:val="Kopfzeile"/>
            <w:spacing w:before="0" w:line="240" w:lineRule="auto"/>
            <w:ind w:right="-62"/>
            <w:rPr>
              <w:color w:val="808080"/>
            </w:rPr>
          </w:pPr>
          <w:r>
            <w:rPr>
              <w:rFonts w:ascii="Century Gothic" w:hAnsi="Century Gothic"/>
              <w:color w:val="333333"/>
              <w:sz w:val="14"/>
            </w:rPr>
            <w:t>E-Mail:  office@ovgw.at  /  Internet:  www.ovgw.at</w:t>
          </w:r>
        </w:p>
      </w:tc>
    </w:tr>
  </w:tbl>
  <w:p w14:paraId="29A8FF3F" w14:textId="77777777" w:rsidR="00D3661C" w:rsidRDefault="00D36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97D"/>
    <w:multiLevelType w:val="hybridMultilevel"/>
    <w:tmpl w:val="4510FF72"/>
    <w:lvl w:ilvl="0" w:tplc="88C8CFD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E93777"/>
    <w:multiLevelType w:val="hybridMultilevel"/>
    <w:tmpl w:val="024454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A0F00"/>
    <w:multiLevelType w:val="hybridMultilevel"/>
    <w:tmpl w:val="6EDC517A"/>
    <w:lvl w:ilvl="0" w:tplc="118C7DC0">
      <w:start w:val="1"/>
      <w:numFmt w:val="bullet"/>
      <w:lvlText w:val=""/>
      <w:lvlJc w:val="left"/>
      <w:pPr>
        <w:tabs>
          <w:tab w:val="num" w:pos="360"/>
        </w:tabs>
        <w:ind w:left="360" w:hanging="360"/>
      </w:pPr>
      <w:rPr>
        <w:rFonts w:ascii="Wingdings" w:hAnsi="Wingdings" w:hint="default"/>
      </w:rPr>
    </w:lvl>
    <w:lvl w:ilvl="1" w:tplc="BE44A85E">
      <w:start w:val="1"/>
      <w:numFmt w:val="bullet"/>
      <w:lvlText w:val=""/>
      <w:lvlJc w:val="left"/>
      <w:pPr>
        <w:tabs>
          <w:tab w:val="num" w:pos="1080"/>
        </w:tabs>
        <w:ind w:left="1080" w:hanging="360"/>
      </w:pPr>
      <w:rPr>
        <w:rFonts w:ascii="Wingdings" w:hAnsi="Wingdings" w:hint="default"/>
      </w:rPr>
    </w:lvl>
    <w:lvl w:ilvl="2" w:tplc="AB0EA1B8">
      <w:start w:val="27"/>
      <w:numFmt w:val="bullet"/>
      <w:lvlText w:val=""/>
      <w:lvlJc w:val="left"/>
      <w:pPr>
        <w:tabs>
          <w:tab w:val="num" w:pos="1800"/>
        </w:tabs>
        <w:ind w:left="1800" w:hanging="360"/>
      </w:pPr>
      <w:rPr>
        <w:rFonts w:ascii="Wingdings" w:hAnsi="Wingdings" w:hint="default"/>
      </w:rPr>
    </w:lvl>
    <w:lvl w:ilvl="3" w:tplc="BC7099F8">
      <w:start w:val="27"/>
      <w:numFmt w:val="bullet"/>
      <w:lvlText w:val=""/>
      <w:lvlJc w:val="left"/>
      <w:pPr>
        <w:tabs>
          <w:tab w:val="num" w:pos="2520"/>
        </w:tabs>
        <w:ind w:left="2520" w:hanging="360"/>
      </w:pPr>
      <w:rPr>
        <w:rFonts w:ascii="Wingdings" w:hAnsi="Wingdings" w:hint="default"/>
      </w:rPr>
    </w:lvl>
    <w:lvl w:ilvl="4" w:tplc="44A6E63E" w:tentative="1">
      <w:start w:val="1"/>
      <w:numFmt w:val="bullet"/>
      <w:lvlText w:val=""/>
      <w:lvlJc w:val="left"/>
      <w:pPr>
        <w:tabs>
          <w:tab w:val="num" w:pos="3240"/>
        </w:tabs>
        <w:ind w:left="3240" w:hanging="360"/>
      </w:pPr>
      <w:rPr>
        <w:rFonts w:ascii="Wingdings" w:hAnsi="Wingdings" w:hint="default"/>
      </w:rPr>
    </w:lvl>
    <w:lvl w:ilvl="5" w:tplc="940C1DEC" w:tentative="1">
      <w:start w:val="1"/>
      <w:numFmt w:val="bullet"/>
      <w:lvlText w:val=""/>
      <w:lvlJc w:val="left"/>
      <w:pPr>
        <w:tabs>
          <w:tab w:val="num" w:pos="3960"/>
        </w:tabs>
        <w:ind w:left="3960" w:hanging="360"/>
      </w:pPr>
      <w:rPr>
        <w:rFonts w:ascii="Wingdings" w:hAnsi="Wingdings" w:hint="default"/>
      </w:rPr>
    </w:lvl>
    <w:lvl w:ilvl="6" w:tplc="676E3D12" w:tentative="1">
      <w:start w:val="1"/>
      <w:numFmt w:val="bullet"/>
      <w:lvlText w:val=""/>
      <w:lvlJc w:val="left"/>
      <w:pPr>
        <w:tabs>
          <w:tab w:val="num" w:pos="4680"/>
        </w:tabs>
        <w:ind w:left="4680" w:hanging="360"/>
      </w:pPr>
      <w:rPr>
        <w:rFonts w:ascii="Wingdings" w:hAnsi="Wingdings" w:hint="default"/>
      </w:rPr>
    </w:lvl>
    <w:lvl w:ilvl="7" w:tplc="4874F802" w:tentative="1">
      <w:start w:val="1"/>
      <w:numFmt w:val="bullet"/>
      <w:lvlText w:val=""/>
      <w:lvlJc w:val="left"/>
      <w:pPr>
        <w:tabs>
          <w:tab w:val="num" w:pos="5400"/>
        </w:tabs>
        <w:ind w:left="5400" w:hanging="360"/>
      </w:pPr>
      <w:rPr>
        <w:rFonts w:ascii="Wingdings" w:hAnsi="Wingdings" w:hint="default"/>
      </w:rPr>
    </w:lvl>
    <w:lvl w:ilvl="8" w:tplc="F3102D9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AD7C4E"/>
    <w:multiLevelType w:val="hybridMultilevel"/>
    <w:tmpl w:val="8FD6A48C"/>
    <w:lvl w:ilvl="0" w:tplc="21F4F54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C8621A"/>
    <w:multiLevelType w:val="hybridMultilevel"/>
    <w:tmpl w:val="8DC649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A3E5999"/>
    <w:multiLevelType w:val="hybridMultilevel"/>
    <w:tmpl w:val="12E65720"/>
    <w:lvl w:ilvl="0" w:tplc="871A73B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B6269F"/>
    <w:multiLevelType w:val="hybridMultilevel"/>
    <w:tmpl w:val="C77A2D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A4D04"/>
    <w:multiLevelType w:val="multilevel"/>
    <w:tmpl w:val="C042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603E7"/>
    <w:multiLevelType w:val="hybridMultilevel"/>
    <w:tmpl w:val="C80AA8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C4B56"/>
    <w:multiLevelType w:val="hybridMultilevel"/>
    <w:tmpl w:val="BEDC87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F03247F"/>
    <w:multiLevelType w:val="hybridMultilevel"/>
    <w:tmpl w:val="8B84BA2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337E8C"/>
    <w:multiLevelType w:val="multilevel"/>
    <w:tmpl w:val="C80AA876"/>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21FC1"/>
    <w:multiLevelType w:val="hybridMultilevel"/>
    <w:tmpl w:val="F10E6E6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7F07358"/>
    <w:multiLevelType w:val="hybridMultilevel"/>
    <w:tmpl w:val="B106AF0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1A6C9E"/>
    <w:multiLevelType w:val="hybridMultilevel"/>
    <w:tmpl w:val="7F6E049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016062D"/>
    <w:multiLevelType w:val="hybridMultilevel"/>
    <w:tmpl w:val="DE7CC0CC"/>
    <w:lvl w:ilvl="0" w:tplc="384E8522">
      <w:start w:val="1"/>
      <w:numFmt w:val="bullet"/>
      <w:pStyle w:val="ListeLevel1"/>
      <w:lvlText w:val=""/>
      <w:lvlJc w:val="left"/>
      <w:pPr>
        <w:ind w:left="360"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475A5F"/>
    <w:multiLevelType w:val="hybridMultilevel"/>
    <w:tmpl w:val="7E367E10"/>
    <w:lvl w:ilvl="0" w:tplc="9BA820A6">
      <w:start w:val="1"/>
      <w:numFmt w:val="bullet"/>
      <w:lvlText w:val=""/>
      <w:lvlJc w:val="left"/>
      <w:pPr>
        <w:tabs>
          <w:tab w:val="num" w:pos="360"/>
        </w:tabs>
        <w:ind w:left="360" w:hanging="360"/>
      </w:pPr>
      <w:rPr>
        <w:rFonts w:ascii="Wingdings" w:hAnsi="Wingdings" w:hint="default"/>
      </w:rPr>
    </w:lvl>
    <w:lvl w:ilvl="1" w:tplc="F36ACDBE">
      <w:start w:val="1"/>
      <w:numFmt w:val="bullet"/>
      <w:lvlText w:val=""/>
      <w:lvlJc w:val="left"/>
      <w:pPr>
        <w:tabs>
          <w:tab w:val="num" w:pos="1080"/>
        </w:tabs>
        <w:ind w:left="1080" w:hanging="360"/>
      </w:pPr>
      <w:rPr>
        <w:rFonts w:ascii="Wingdings" w:hAnsi="Wingdings" w:hint="default"/>
      </w:rPr>
    </w:lvl>
    <w:lvl w:ilvl="2" w:tplc="7B94731A">
      <w:start w:val="27"/>
      <w:numFmt w:val="bullet"/>
      <w:lvlText w:val=""/>
      <w:lvlJc w:val="left"/>
      <w:pPr>
        <w:tabs>
          <w:tab w:val="num" w:pos="1800"/>
        </w:tabs>
        <w:ind w:left="1800" w:hanging="360"/>
      </w:pPr>
      <w:rPr>
        <w:rFonts w:ascii="Wingdings" w:hAnsi="Wingdings" w:hint="default"/>
      </w:rPr>
    </w:lvl>
    <w:lvl w:ilvl="3" w:tplc="4B56AA72">
      <w:start w:val="27"/>
      <w:numFmt w:val="bullet"/>
      <w:lvlText w:val=""/>
      <w:lvlJc w:val="left"/>
      <w:pPr>
        <w:tabs>
          <w:tab w:val="num" w:pos="2520"/>
        </w:tabs>
        <w:ind w:left="2520" w:hanging="360"/>
      </w:pPr>
      <w:rPr>
        <w:rFonts w:ascii="Wingdings" w:hAnsi="Wingdings" w:hint="default"/>
      </w:rPr>
    </w:lvl>
    <w:lvl w:ilvl="4" w:tplc="4656E54C" w:tentative="1">
      <w:start w:val="1"/>
      <w:numFmt w:val="bullet"/>
      <w:lvlText w:val=""/>
      <w:lvlJc w:val="left"/>
      <w:pPr>
        <w:tabs>
          <w:tab w:val="num" w:pos="3240"/>
        </w:tabs>
        <w:ind w:left="3240" w:hanging="360"/>
      </w:pPr>
      <w:rPr>
        <w:rFonts w:ascii="Wingdings" w:hAnsi="Wingdings" w:hint="default"/>
      </w:rPr>
    </w:lvl>
    <w:lvl w:ilvl="5" w:tplc="578285EE" w:tentative="1">
      <w:start w:val="1"/>
      <w:numFmt w:val="bullet"/>
      <w:lvlText w:val=""/>
      <w:lvlJc w:val="left"/>
      <w:pPr>
        <w:tabs>
          <w:tab w:val="num" w:pos="3960"/>
        </w:tabs>
        <w:ind w:left="3960" w:hanging="360"/>
      </w:pPr>
      <w:rPr>
        <w:rFonts w:ascii="Wingdings" w:hAnsi="Wingdings" w:hint="default"/>
      </w:rPr>
    </w:lvl>
    <w:lvl w:ilvl="6" w:tplc="65B64DEA" w:tentative="1">
      <w:start w:val="1"/>
      <w:numFmt w:val="bullet"/>
      <w:lvlText w:val=""/>
      <w:lvlJc w:val="left"/>
      <w:pPr>
        <w:tabs>
          <w:tab w:val="num" w:pos="4680"/>
        </w:tabs>
        <w:ind w:left="4680" w:hanging="360"/>
      </w:pPr>
      <w:rPr>
        <w:rFonts w:ascii="Wingdings" w:hAnsi="Wingdings" w:hint="default"/>
      </w:rPr>
    </w:lvl>
    <w:lvl w:ilvl="7" w:tplc="9EBE4A56" w:tentative="1">
      <w:start w:val="1"/>
      <w:numFmt w:val="bullet"/>
      <w:lvlText w:val=""/>
      <w:lvlJc w:val="left"/>
      <w:pPr>
        <w:tabs>
          <w:tab w:val="num" w:pos="5400"/>
        </w:tabs>
        <w:ind w:left="5400" w:hanging="360"/>
      </w:pPr>
      <w:rPr>
        <w:rFonts w:ascii="Wingdings" w:hAnsi="Wingdings" w:hint="default"/>
      </w:rPr>
    </w:lvl>
    <w:lvl w:ilvl="8" w:tplc="26448C8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9A4553"/>
    <w:multiLevelType w:val="hybridMultilevel"/>
    <w:tmpl w:val="7592D204"/>
    <w:lvl w:ilvl="0" w:tplc="6F5CB320">
      <w:start w:val="1"/>
      <w:numFmt w:val="bullet"/>
      <w:lvlText w:val=""/>
      <w:lvlJc w:val="left"/>
      <w:pPr>
        <w:tabs>
          <w:tab w:val="num" w:pos="360"/>
        </w:tabs>
        <w:ind w:left="360" w:hanging="360"/>
      </w:pPr>
      <w:rPr>
        <w:rFonts w:ascii="Wingdings" w:hAnsi="Wingdings" w:hint="default"/>
      </w:rPr>
    </w:lvl>
    <w:lvl w:ilvl="1" w:tplc="6568D0F2">
      <w:start w:val="1"/>
      <w:numFmt w:val="bullet"/>
      <w:lvlText w:val=""/>
      <w:lvlJc w:val="left"/>
      <w:pPr>
        <w:tabs>
          <w:tab w:val="num" w:pos="1080"/>
        </w:tabs>
        <w:ind w:left="1080" w:hanging="360"/>
      </w:pPr>
      <w:rPr>
        <w:rFonts w:ascii="Wingdings" w:hAnsi="Wingdings" w:hint="default"/>
      </w:rPr>
    </w:lvl>
    <w:lvl w:ilvl="2" w:tplc="72AEF096">
      <w:start w:val="27"/>
      <w:numFmt w:val="bullet"/>
      <w:lvlText w:val=""/>
      <w:lvlJc w:val="left"/>
      <w:pPr>
        <w:tabs>
          <w:tab w:val="num" w:pos="1800"/>
        </w:tabs>
        <w:ind w:left="1800" w:hanging="360"/>
      </w:pPr>
      <w:rPr>
        <w:rFonts w:ascii="Wingdings" w:hAnsi="Wingdings" w:hint="default"/>
      </w:rPr>
    </w:lvl>
    <w:lvl w:ilvl="3" w:tplc="297CFC3C">
      <w:start w:val="27"/>
      <w:numFmt w:val="bullet"/>
      <w:lvlText w:val=""/>
      <w:lvlJc w:val="left"/>
      <w:pPr>
        <w:tabs>
          <w:tab w:val="num" w:pos="2520"/>
        </w:tabs>
        <w:ind w:left="2520" w:hanging="360"/>
      </w:pPr>
      <w:rPr>
        <w:rFonts w:ascii="Wingdings" w:hAnsi="Wingdings" w:hint="default"/>
      </w:rPr>
    </w:lvl>
    <w:lvl w:ilvl="4" w:tplc="0BE25AF0" w:tentative="1">
      <w:start w:val="1"/>
      <w:numFmt w:val="bullet"/>
      <w:lvlText w:val=""/>
      <w:lvlJc w:val="left"/>
      <w:pPr>
        <w:tabs>
          <w:tab w:val="num" w:pos="3240"/>
        </w:tabs>
        <w:ind w:left="3240" w:hanging="360"/>
      </w:pPr>
      <w:rPr>
        <w:rFonts w:ascii="Wingdings" w:hAnsi="Wingdings" w:hint="default"/>
      </w:rPr>
    </w:lvl>
    <w:lvl w:ilvl="5" w:tplc="333CEBA4" w:tentative="1">
      <w:start w:val="1"/>
      <w:numFmt w:val="bullet"/>
      <w:lvlText w:val=""/>
      <w:lvlJc w:val="left"/>
      <w:pPr>
        <w:tabs>
          <w:tab w:val="num" w:pos="3960"/>
        </w:tabs>
        <w:ind w:left="3960" w:hanging="360"/>
      </w:pPr>
      <w:rPr>
        <w:rFonts w:ascii="Wingdings" w:hAnsi="Wingdings" w:hint="default"/>
      </w:rPr>
    </w:lvl>
    <w:lvl w:ilvl="6" w:tplc="8E12AC74" w:tentative="1">
      <w:start w:val="1"/>
      <w:numFmt w:val="bullet"/>
      <w:lvlText w:val=""/>
      <w:lvlJc w:val="left"/>
      <w:pPr>
        <w:tabs>
          <w:tab w:val="num" w:pos="4680"/>
        </w:tabs>
        <w:ind w:left="4680" w:hanging="360"/>
      </w:pPr>
      <w:rPr>
        <w:rFonts w:ascii="Wingdings" w:hAnsi="Wingdings" w:hint="default"/>
      </w:rPr>
    </w:lvl>
    <w:lvl w:ilvl="7" w:tplc="6030A120" w:tentative="1">
      <w:start w:val="1"/>
      <w:numFmt w:val="bullet"/>
      <w:lvlText w:val=""/>
      <w:lvlJc w:val="left"/>
      <w:pPr>
        <w:tabs>
          <w:tab w:val="num" w:pos="5400"/>
        </w:tabs>
        <w:ind w:left="5400" w:hanging="360"/>
      </w:pPr>
      <w:rPr>
        <w:rFonts w:ascii="Wingdings" w:hAnsi="Wingdings" w:hint="default"/>
      </w:rPr>
    </w:lvl>
    <w:lvl w:ilvl="8" w:tplc="E424E964"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A53597"/>
    <w:multiLevelType w:val="hybridMultilevel"/>
    <w:tmpl w:val="28C46D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CC22B7A"/>
    <w:multiLevelType w:val="hybridMultilevel"/>
    <w:tmpl w:val="41A497B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10A4E4F"/>
    <w:multiLevelType w:val="hybridMultilevel"/>
    <w:tmpl w:val="0636B9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9576007"/>
    <w:multiLevelType w:val="hybridMultilevel"/>
    <w:tmpl w:val="4C5246AA"/>
    <w:lvl w:ilvl="0" w:tplc="566AAE28">
      <w:start w:val="1"/>
      <w:numFmt w:val="bullet"/>
      <w:lvlText w:val=""/>
      <w:lvlJc w:val="left"/>
      <w:pPr>
        <w:tabs>
          <w:tab w:val="num" w:pos="360"/>
        </w:tabs>
        <w:ind w:left="360" w:hanging="360"/>
      </w:pPr>
      <w:rPr>
        <w:rFonts w:ascii="Wingdings" w:hAnsi="Wingdings" w:hint="default"/>
      </w:rPr>
    </w:lvl>
    <w:lvl w:ilvl="1" w:tplc="B0B21870">
      <w:start w:val="1"/>
      <w:numFmt w:val="bullet"/>
      <w:lvlText w:val=""/>
      <w:lvlJc w:val="left"/>
      <w:pPr>
        <w:tabs>
          <w:tab w:val="num" w:pos="1080"/>
        </w:tabs>
        <w:ind w:left="1080" w:hanging="360"/>
      </w:pPr>
      <w:rPr>
        <w:rFonts w:ascii="Wingdings" w:hAnsi="Wingdings" w:hint="default"/>
      </w:rPr>
    </w:lvl>
    <w:lvl w:ilvl="2" w:tplc="F5A6A8F8">
      <w:start w:val="27"/>
      <w:numFmt w:val="bullet"/>
      <w:lvlText w:val=""/>
      <w:lvlJc w:val="left"/>
      <w:pPr>
        <w:tabs>
          <w:tab w:val="num" w:pos="1800"/>
        </w:tabs>
        <w:ind w:left="1800" w:hanging="360"/>
      </w:pPr>
      <w:rPr>
        <w:rFonts w:ascii="Wingdings" w:hAnsi="Wingdings" w:hint="default"/>
      </w:rPr>
    </w:lvl>
    <w:lvl w:ilvl="3" w:tplc="C68C9B48">
      <w:start w:val="27"/>
      <w:numFmt w:val="bullet"/>
      <w:lvlText w:val=""/>
      <w:lvlJc w:val="left"/>
      <w:pPr>
        <w:tabs>
          <w:tab w:val="num" w:pos="2520"/>
        </w:tabs>
        <w:ind w:left="2520" w:hanging="360"/>
      </w:pPr>
      <w:rPr>
        <w:rFonts w:ascii="Wingdings" w:hAnsi="Wingdings" w:hint="default"/>
      </w:rPr>
    </w:lvl>
    <w:lvl w:ilvl="4" w:tplc="99BAE7F8" w:tentative="1">
      <w:start w:val="1"/>
      <w:numFmt w:val="bullet"/>
      <w:lvlText w:val=""/>
      <w:lvlJc w:val="left"/>
      <w:pPr>
        <w:tabs>
          <w:tab w:val="num" w:pos="3240"/>
        </w:tabs>
        <w:ind w:left="3240" w:hanging="360"/>
      </w:pPr>
      <w:rPr>
        <w:rFonts w:ascii="Wingdings" w:hAnsi="Wingdings" w:hint="default"/>
      </w:rPr>
    </w:lvl>
    <w:lvl w:ilvl="5" w:tplc="D502686C" w:tentative="1">
      <w:start w:val="1"/>
      <w:numFmt w:val="bullet"/>
      <w:lvlText w:val=""/>
      <w:lvlJc w:val="left"/>
      <w:pPr>
        <w:tabs>
          <w:tab w:val="num" w:pos="3960"/>
        </w:tabs>
        <w:ind w:left="3960" w:hanging="360"/>
      </w:pPr>
      <w:rPr>
        <w:rFonts w:ascii="Wingdings" w:hAnsi="Wingdings" w:hint="default"/>
      </w:rPr>
    </w:lvl>
    <w:lvl w:ilvl="6" w:tplc="594AF11E" w:tentative="1">
      <w:start w:val="1"/>
      <w:numFmt w:val="bullet"/>
      <w:lvlText w:val=""/>
      <w:lvlJc w:val="left"/>
      <w:pPr>
        <w:tabs>
          <w:tab w:val="num" w:pos="4680"/>
        </w:tabs>
        <w:ind w:left="4680" w:hanging="360"/>
      </w:pPr>
      <w:rPr>
        <w:rFonts w:ascii="Wingdings" w:hAnsi="Wingdings" w:hint="default"/>
      </w:rPr>
    </w:lvl>
    <w:lvl w:ilvl="7" w:tplc="8F540D9E" w:tentative="1">
      <w:start w:val="1"/>
      <w:numFmt w:val="bullet"/>
      <w:lvlText w:val=""/>
      <w:lvlJc w:val="left"/>
      <w:pPr>
        <w:tabs>
          <w:tab w:val="num" w:pos="5400"/>
        </w:tabs>
        <w:ind w:left="5400" w:hanging="360"/>
      </w:pPr>
      <w:rPr>
        <w:rFonts w:ascii="Wingdings" w:hAnsi="Wingdings" w:hint="default"/>
      </w:rPr>
    </w:lvl>
    <w:lvl w:ilvl="8" w:tplc="B5EEFDE2"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11"/>
  </w:num>
  <w:num w:numId="4">
    <w:abstractNumId w:val="1"/>
  </w:num>
  <w:num w:numId="5">
    <w:abstractNumId w:val="4"/>
  </w:num>
  <w:num w:numId="6">
    <w:abstractNumId w:val="2"/>
  </w:num>
  <w:num w:numId="7">
    <w:abstractNumId w:val="21"/>
  </w:num>
  <w:num w:numId="8">
    <w:abstractNumId w:val="17"/>
  </w:num>
  <w:num w:numId="9">
    <w:abstractNumId w:val="16"/>
  </w:num>
  <w:num w:numId="10">
    <w:abstractNumId w:val="20"/>
  </w:num>
  <w:num w:numId="11">
    <w:abstractNumId w:val="10"/>
  </w:num>
  <w:num w:numId="12">
    <w:abstractNumId w:val="9"/>
  </w:num>
  <w:num w:numId="13">
    <w:abstractNumId w:val="18"/>
  </w:num>
  <w:num w:numId="14">
    <w:abstractNumId w:val="7"/>
  </w:num>
  <w:num w:numId="15">
    <w:abstractNumId w:val="0"/>
  </w:num>
  <w:num w:numId="16">
    <w:abstractNumId w:val="5"/>
  </w:num>
  <w:num w:numId="17">
    <w:abstractNumId w:val="3"/>
  </w:num>
  <w:num w:numId="18">
    <w:abstractNumId w:val="13"/>
  </w:num>
  <w:num w:numId="19">
    <w:abstractNumId w:val="12"/>
  </w:num>
  <w:num w:numId="20">
    <w:abstractNumId w:val="14"/>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68"/>
    <w:rsid w:val="000031E2"/>
    <w:rsid w:val="00014768"/>
    <w:rsid w:val="000154BA"/>
    <w:rsid w:val="000300CB"/>
    <w:rsid w:val="00030DA9"/>
    <w:rsid w:val="00035ABE"/>
    <w:rsid w:val="0004072A"/>
    <w:rsid w:val="000418F1"/>
    <w:rsid w:val="000429BA"/>
    <w:rsid w:val="0005474C"/>
    <w:rsid w:val="00055898"/>
    <w:rsid w:val="00056B0B"/>
    <w:rsid w:val="00057963"/>
    <w:rsid w:val="00062034"/>
    <w:rsid w:val="00062941"/>
    <w:rsid w:val="000643F4"/>
    <w:rsid w:val="000648A5"/>
    <w:rsid w:val="00064CD9"/>
    <w:rsid w:val="00064F5A"/>
    <w:rsid w:val="00071B54"/>
    <w:rsid w:val="00085A0A"/>
    <w:rsid w:val="00087138"/>
    <w:rsid w:val="000916EF"/>
    <w:rsid w:val="00095BBD"/>
    <w:rsid w:val="000B154F"/>
    <w:rsid w:val="000B1859"/>
    <w:rsid w:val="000C27C7"/>
    <w:rsid w:val="000C47A5"/>
    <w:rsid w:val="000C5807"/>
    <w:rsid w:val="000C746D"/>
    <w:rsid w:val="000C7DF0"/>
    <w:rsid w:val="000D03F4"/>
    <w:rsid w:val="000D2F64"/>
    <w:rsid w:val="000D783C"/>
    <w:rsid w:val="000E64AD"/>
    <w:rsid w:val="000F3D0C"/>
    <w:rsid w:val="000F7F83"/>
    <w:rsid w:val="00100678"/>
    <w:rsid w:val="001016C5"/>
    <w:rsid w:val="00101E3E"/>
    <w:rsid w:val="00101F25"/>
    <w:rsid w:val="00110839"/>
    <w:rsid w:val="00113B3C"/>
    <w:rsid w:val="00116C88"/>
    <w:rsid w:val="00120191"/>
    <w:rsid w:val="001203FC"/>
    <w:rsid w:val="00120BF4"/>
    <w:rsid w:val="00127BDF"/>
    <w:rsid w:val="00140066"/>
    <w:rsid w:val="00142D02"/>
    <w:rsid w:val="001502FB"/>
    <w:rsid w:val="00155421"/>
    <w:rsid w:val="00162FAC"/>
    <w:rsid w:val="0016761F"/>
    <w:rsid w:val="0017232A"/>
    <w:rsid w:val="00173ADA"/>
    <w:rsid w:val="00182306"/>
    <w:rsid w:val="00186634"/>
    <w:rsid w:val="00192103"/>
    <w:rsid w:val="00193C81"/>
    <w:rsid w:val="001A0DAF"/>
    <w:rsid w:val="001A208A"/>
    <w:rsid w:val="001A3D22"/>
    <w:rsid w:val="001A5F5B"/>
    <w:rsid w:val="001B12C9"/>
    <w:rsid w:val="001B5C19"/>
    <w:rsid w:val="001B76B4"/>
    <w:rsid w:val="001C1314"/>
    <w:rsid w:val="001C150B"/>
    <w:rsid w:val="001C43F3"/>
    <w:rsid w:val="001C4E84"/>
    <w:rsid w:val="001C6A4C"/>
    <w:rsid w:val="001C6B5D"/>
    <w:rsid w:val="001C7098"/>
    <w:rsid w:val="001C7BA9"/>
    <w:rsid w:val="001E11AF"/>
    <w:rsid w:val="001E1418"/>
    <w:rsid w:val="001E283E"/>
    <w:rsid w:val="001E4881"/>
    <w:rsid w:val="001E7402"/>
    <w:rsid w:val="001F28F4"/>
    <w:rsid w:val="00202291"/>
    <w:rsid w:val="0020729E"/>
    <w:rsid w:val="00213427"/>
    <w:rsid w:val="00214FB8"/>
    <w:rsid w:val="00224768"/>
    <w:rsid w:val="0022481B"/>
    <w:rsid w:val="002276E1"/>
    <w:rsid w:val="0024206B"/>
    <w:rsid w:val="0024486A"/>
    <w:rsid w:val="00246C5A"/>
    <w:rsid w:val="00246E4D"/>
    <w:rsid w:val="002520A5"/>
    <w:rsid w:val="002546B3"/>
    <w:rsid w:val="00260BD3"/>
    <w:rsid w:val="002626D2"/>
    <w:rsid w:val="002643B5"/>
    <w:rsid w:val="002661C1"/>
    <w:rsid w:val="00271353"/>
    <w:rsid w:val="002746DE"/>
    <w:rsid w:val="0027607E"/>
    <w:rsid w:val="00285651"/>
    <w:rsid w:val="002928D7"/>
    <w:rsid w:val="002A098B"/>
    <w:rsid w:val="002A67AC"/>
    <w:rsid w:val="002A6F5C"/>
    <w:rsid w:val="002B16B8"/>
    <w:rsid w:val="002B19DA"/>
    <w:rsid w:val="002D16CF"/>
    <w:rsid w:val="002D29EB"/>
    <w:rsid w:val="002D4596"/>
    <w:rsid w:val="002E40F0"/>
    <w:rsid w:val="002F274C"/>
    <w:rsid w:val="002F5D8F"/>
    <w:rsid w:val="002F65EF"/>
    <w:rsid w:val="0030524E"/>
    <w:rsid w:val="0030781F"/>
    <w:rsid w:val="00310AA4"/>
    <w:rsid w:val="003157E3"/>
    <w:rsid w:val="00321252"/>
    <w:rsid w:val="003252BE"/>
    <w:rsid w:val="003333D5"/>
    <w:rsid w:val="00335245"/>
    <w:rsid w:val="003356DB"/>
    <w:rsid w:val="00343B3E"/>
    <w:rsid w:val="003446A4"/>
    <w:rsid w:val="00344A10"/>
    <w:rsid w:val="00345A35"/>
    <w:rsid w:val="00350ABC"/>
    <w:rsid w:val="00356FA1"/>
    <w:rsid w:val="0036552D"/>
    <w:rsid w:val="0037119B"/>
    <w:rsid w:val="003719F6"/>
    <w:rsid w:val="003756B2"/>
    <w:rsid w:val="00375909"/>
    <w:rsid w:val="00375F7C"/>
    <w:rsid w:val="003870E7"/>
    <w:rsid w:val="00390A62"/>
    <w:rsid w:val="003A713A"/>
    <w:rsid w:val="003B2BED"/>
    <w:rsid w:val="003B6AB4"/>
    <w:rsid w:val="003B6C89"/>
    <w:rsid w:val="003B6CD2"/>
    <w:rsid w:val="003C0778"/>
    <w:rsid w:val="003C2832"/>
    <w:rsid w:val="003E521B"/>
    <w:rsid w:val="003E57A1"/>
    <w:rsid w:val="003E5B46"/>
    <w:rsid w:val="003E61A4"/>
    <w:rsid w:val="003F219E"/>
    <w:rsid w:val="003F47DF"/>
    <w:rsid w:val="004106B7"/>
    <w:rsid w:val="00410DAE"/>
    <w:rsid w:val="004150D5"/>
    <w:rsid w:val="00415EAB"/>
    <w:rsid w:val="00422D09"/>
    <w:rsid w:val="004279EF"/>
    <w:rsid w:val="0044382A"/>
    <w:rsid w:val="00445686"/>
    <w:rsid w:val="00446418"/>
    <w:rsid w:val="00460131"/>
    <w:rsid w:val="00460DEE"/>
    <w:rsid w:val="00471B0F"/>
    <w:rsid w:val="00475226"/>
    <w:rsid w:val="00475468"/>
    <w:rsid w:val="00492A5B"/>
    <w:rsid w:val="00493132"/>
    <w:rsid w:val="0049539E"/>
    <w:rsid w:val="004A3A34"/>
    <w:rsid w:val="004B0794"/>
    <w:rsid w:val="004B13B6"/>
    <w:rsid w:val="004B2F26"/>
    <w:rsid w:val="004B6675"/>
    <w:rsid w:val="004C08FF"/>
    <w:rsid w:val="004C75BD"/>
    <w:rsid w:val="004E0DE8"/>
    <w:rsid w:val="004E51ED"/>
    <w:rsid w:val="004E7D78"/>
    <w:rsid w:val="004F2418"/>
    <w:rsid w:val="004F4E71"/>
    <w:rsid w:val="004F588D"/>
    <w:rsid w:val="00503325"/>
    <w:rsid w:val="00506C54"/>
    <w:rsid w:val="00513139"/>
    <w:rsid w:val="00514576"/>
    <w:rsid w:val="00526E54"/>
    <w:rsid w:val="00537B18"/>
    <w:rsid w:val="00537DF7"/>
    <w:rsid w:val="00553CA7"/>
    <w:rsid w:val="00556A2F"/>
    <w:rsid w:val="00557281"/>
    <w:rsid w:val="00557EAF"/>
    <w:rsid w:val="005616D0"/>
    <w:rsid w:val="00573A69"/>
    <w:rsid w:val="005813E2"/>
    <w:rsid w:val="0058154E"/>
    <w:rsid w:val="005816C2"/>
    <w:rsid w:val="00586A8D"/>
    <w:rsid w:val="00590628"/>
    <w:rsid w:val="005928B4"/>
    <w:rsid w:val="0059470A"/>
    <w:rsid w:val="00594EC2"/>
    <w:rsid w:val="005A04E7"/>
    <w:rsid w:val="005A291E"/>
    <w:rsid w:val="005A7970"/>
    <w:rsid w:val="005C194F"/>
    <w:rsid w:val="005C3C6C"/>
    <w:rsid w:val="005C62D4"/>
    <w:rsid w:val="005C7489"/>
    <w:rsid w:val="005D0FE4"/>
    <w:rsid w:val="005D21FD"/>
    <w:rsid w:val="005D582A"/>
    <w:rsid w:val="005F3005"/>
    <w:rsid w:val="005F340F"/>
    <w:rsid w:val="005F78C0"/>
    <w:rsid w:val="00601793"/>
    <w:rsid w:val="006043A8"/>
    <w:rsid w:val="00617F47"/>
    <w:rsid w:val="0062127B"/>
    <w:rsid w:val="00621912"/>
    <w:rsid w:val="006314A4"/>
    <w:rsid w:val="00631AAF"/>
    <w:rsid w:val="00633728"/>
    <w:rsid w:val="006348C6"/>
    <w:rsid w:val="006366FB"/>
    <w:rsid w:val="00650874"/>
    <w:rsid w:val="00655922"/>
    <w:rsid w:val="006569E0"/>
    <w:rsid w:val="00661D6F"/>
    <w:rsid w:val="006645A9"/>
    <w:rsid w:val="006664AB"/>
    <w:rsid w:val="00673E28"/>
    <w:rsid w:val="0068665A"/>
    <w:rsid w:val="0068748D"/>
    <w:rsid w:val="0069072D"/>
    <w:rsid w:val="006970AB"/>
    <w:rsid w:val="00697E11"/>
    <w:rsid w:val="006A00E8"/>
    <w:rsid w:val="006A5A9B"/>
    <w:rsid w:val="006B0341"/>
    <w:rsid w:val="006B1479"/>
    <w:rsid w:val="006B361B"/>
    <w:rsid w:val="006C6C71"/>
    <w:rsid w:val="006C7B3B"/>
    <w:rsid w:val="006D40CC"/>
    <w:rsid w:val="006E0D72"/>
    <w:rsid w:val="006E1072"/>
    <w:rsid w:val="006E1A99"/>
    <w:rsid w:val="006E7470"/>
    <w:rsid w:val="006E77E7"/>
    <w:rsid w:val="006F7D0B"/>
    <w:rsid w:val="0070286B"/>
    <w:rsid w:val="0070614B"/>
    <w:rsid w:val="00712EC3"/>
    <w:rsid w:val="00713925"/>
    <w:rsid w:val="00713BF5"/>
    <w:rsid w:val="00716218"/>
    <w:rsid w:val="00717FF3"/>
    <w:rsid w:val="00722396"/>
    <w:rsid w:val="007317E2"/>
    <w:rsid w:val="00733465"/>
    <w:rsid w:val="007341BA"/>
    <w:rsid w:val="00734414"/>
    <w:rsid w:val="00741056"/>
    <w:rsid w:val="0074131C"/>
    <w:rsid w:val="00742FD4"/>
    <w:rsid w:val="00745E55"/>
    <w:rsid w:val="007513BF"/>
    <w:rsid w:val="00762946"/>
    <w:rsid w:val="00764957"/>
    <w:rsid w:val="00771FDF"/>
    <w:rsid w:val="00773CC0"/>
    <w:rsid w:val="0077418F"/>
    <w:rsid w:val="007826A2"/>
    <w:rsid w:val="007843EC"/>
    <w:rsid w:val="00792944"/>
    <w:rsid w:val="00793903"/>
    <w:rsid w:val="00793F95"/>
    <w:rsid w:val="00794F25"/>
    <w:rsid w:val="00796D48"/>
    <w:rsid w:val="00797353"/>
    <w:rsid w:val="00797741"/>
    <w:rsid w:val="007A5C7F"/>
    <w:rsid w:val="007B4F11"/>
    <w:rsid w:val="007C276F"/>
    <w:rsid w:val="007C4010"/>
    <w:rsid w:val="007C429D"/>
    <w:rsid w:val="007C4439"/>
    <w:rsid w:val="007C5334"/>
    <w:rsid w:val="007C5B64"/>
    <w:rsid w:val="007D211E"/>
    <w:rsid w:val="007E036E"/>
    <w:rsid w:val="007E2928"/>
    <w:rsid w:val="007E5C73"/>
    <w:rsid w:val="00802F90"/>
    <w:rsid w:val="0080362A"/>
    <w:rsid w:val="00813F8E"/>
    <w:rsid w:val="00817434"/>
    <w:rsid w:val="008261B7"/>
    <w:rsid w:val="008344F7"/>
    <w:rsid w:val="008369F1"/>
    <w:rsid w:val="008467FA"/>
    <w:rsid w:val="00850681"/>
    <w:rsid w:val="0086189C"/>
    <w:rsid w:val="00862EBF"/>
    <w:rsid w:val="008664EA"/>
    <w:rsid w:val="008715DF"/>
    <w:rsid w:val="00880D07"/>
    <w:rsid w:val="008837B6"/>
    <w:rsid w:val="00883FF9"/>
    <w:rsid w:val="00884DDD"/>
    <w:rsid w:val="00890956"/>
    <w:rsid w:val="00890E02"/>
    <w:rsid w:val="00891ED9"/>
    <w:rsid w:val="008963F8"/>
    <w:rsid w:val="008A5C63"/>
    <w:rsid w:val="008B3D72"/>
    <w:rsid w:val="008B41B0"/>
    <w:rsid w:val="008B7A32"/>
    <w:rsid w:val="008C13D4"/>
    <w:rsid w:val="008C40C6"/>
    <w:rsid w:val="008C6045"/>
    <w:rsid w:val="008E0ACD"/>
    <w:rsid w:val="008F0A5F"/>
    <w:rsid w:val="008F2280"/>
    <w:rsid w:val="008F4B50"/>
    <w:rsid w:val="009112F7"/>
    <w:rsid w:val="009118A8"/>
    <w:rsid w:val="00916763"/>
    <w:rsid w:val="00916B5A"/>
    <w:rsid w:val="00917640"/>
    <w:rsid w:val="00925A63"/>
    <w:rsid w:val="009305CE"/>
    <w:rsid w:val="00940E84"/>
    <w:rsid w:val="00940F36"/>
    <w:rsid w:val="00942295"/>
    <w:rsid w:val="00946AF6"/>
    <w:rsid w:val="00946EC8"/>
    <w:rsid w:val="00955ED1"/>
    <w:rsid w:val="00960887"/>
    <w:rsid w:val="00961338"/>
    <w:rsid w:val="0096476C"/>
    <w:rsid w:val="00967B42"/>
    <w:rsid w:val="00975BE7"/>
    <w:rsid w:val="0097622D"/>
    <w:rsid w:val="00985B5D"/>
    <w:rsid w:val="00990B38"/>
    <w:rsid w:val="009961D3"/>
    <w:rsid w:val="009A0D61"/>
    <w:rsid w:val="009A252E"/>
    <w:rsid w:val="009A2A4D"/>
    <w:rsid w:val="009B2591"/>
    <w:rsid w:val="009C3E42"/>
    <w:rsid w:val="009D23C9"/>
    <w:rsid w:val="009D5803"/>
    <w:rsid w:val="009E271E"/>
    <w:rsid w:val="009E2FA2"/>
    <w:rsid w:val="009E4486"/>
    <w:rsid w:val="009E6349"/>
    <w:rsid w:val="009F101C"/>
    <w:rsid w:val="009F5E80"/>
    <w:rsid w:val="00A0197E"/>
    <w:rsid w:val="00A05E18"/>
    <w:rsid w:val="00A10D30"/>
    <w:rsid w:val="00A147F6"/>
    <w:rsid w:val="00A16D69"/>
    <w:rsid w:val="00A22852"/>
    <w:rsid w:val="00A30E7A"/>
    <w:rsid w:val="00A327D7"/>
    <w:rsid w:val="00A334B3"/>
    <w:rsid w:val="00A40256"/>
    <w:rsid w:val="00A412CD"/>
    <w:rsid w:val="00A446A5"/>
    <w:rsid w:val="00A46B14"/>
    <w:rsid w:val="00A54443"/>
    <w:rsid w:val="00A54BC3"/>
    <w:rsid w:val="00A6040E"/>
    <w:rsid w:val="00A62979"/>
    <w:rsid w:val="00A67C23"/>
    <w:rsid w:val="00A82425"/>
    <w:rsid w:val="00A83544"/>
    <w:rsid w:val="00A84BF3"/>
    <w:rsid w:val="00A9069F"/>
    <w:rsid w:val="00A90881"/>
    <w:rsid w:val="00A93A59"/>
    <w:rsid w:val="00AA0CBF"/>
    <w:rsid w:val="00AA4DAE"/>
    <w:rsid w:val="00AB5206"/>
    <w:rsid w:val="00AD0EFC"/>
    <w:rsid w:val="00AE0C20"/>
    <w:rsid w:val="00AE7587"/>
    <w:rsid w:val="00AF3246"/>
    <w:rsid w:val="00AF7AA5"/>
    <w:rsid w:val="00B10138"/>
    <w:rsid w:val="00B12EB2"/>
    <w:rsid w:val="00B13F09"/>
    <w:rsid w:val="00B1496A"/>
    <w:rsid w:val="00B24E1C"/>
    <w:rsid w:val="00B46E6B"/>
    <w:rsid w:val="00B533A3"/>
    <w:rsid w:val="00B55A33"/>
    <w:rsid w:val="00B71D12"/>
    <w:rsid w:val="00B758F6"/>
    <w:rsid w:val="00B87F43"/>
    <w:rsid w:val="00B94373"/>
    <w:rsid w:val="00B97002"/>
    <w:rsid w:val="00BA0FBC"/>
    <w:rsid w:val="00BA5B50"/>
    <w:rsid w:val="00BB006E"/>
    <w:rsid w:val="00BB1B7F"/>
    <w:rsid w:val="00BC4FBD"/>
    <w:rsid w:val="00BC7C9B"/>
    <w:rsid w:val="00BE410B"/>
    <w:rsid w:val="00BE4355"/>
    <w:rsid w:val="00BF073D"/>
    <w:rsid w:val="00BF2F7D"/>
    <w:rsid w:val="00C0373E"/>
    <w:rsid w:val="00C04B71"/>
    <w:rsid w:val="00C1165B"/>
    <w:rsid w:val="00C12684"/>
    <w:rsid w:val="00C1329D"/>
    <w:rsid w:val="00C147FC"/>
    <w:rsid w:val="00C20324"/>
    <w:rsid w:val="00C32C67"/>
    <w:rsid w:val="00C37B4A"/>
    <w:rsid w:val="00C4100D"/>
    <w:rsid w:val="00C4130A"/>
    <w:rsid w:val="00C47932"/>
    <w:rsid w:val="00C5085D"/>
    <w:rsid w:val="00C54C7B"/>
    <w:rsid w:val="00C56AFD"/>
    <w:rsid w:val="00C655A5"/>
    <w:rsid w:val="00C743B9"/>
    <w:rsid w:val="00C8563D"/>
    <w:rsid w:val="00C86BD9"/>
    <w:rsid w:val="00C92C06"/>
    <w:rsid w:val="00CA042E"/>
    <w:rsid w:val="00CB43B8"/>
    <w:rsid w:val="00CC2752"/>
    <w:rsid w:val="00CC7398"/>
    <w:rsid w:val="00CD679B"/>
    <w:rsid w:val="00CE7325"/>
    <w:rsid w:val="00CF09FB"/>
    <w:rsid w:val="00CF0EFC"/>
    <w:rsid w:val="00CF32AB"/>
    <w:rsid w:val="00D017A1"/>
    <w:rsid w:val="00D04DE9"/>
    <w:rsid w:val="00D05A4F"/>
    <w:rsid w:val="00D061BA"/>
    <w:rsid w:val="00D14716"/>
    <w:rsid w:val="00D22BA3"/>
    <w:rsid w:val="00D27E3B"/>
    <w:rsid w:val="00D32275"/>
    <w:rsid w:val="00D32522"/>
    <w:rsid w:val="00D34854"/>
    <w:rsid w:val="00D3661C"/>
    <w:rsid w:val="00D441C7"/>
    <w:rsid w:val="00D515C2"/>
    <w:rsid w:val="00D57A3A"/>
    <w:rsid w:val="00D620DC"/>
    <w:rsid w:val="00D7239C"/>
    <w:rsid w:val="00D74A48"/>
    <w:rsid w:val="00D76A93"/>
    <w:rsid w:val="00D812FF"/>
    <w:rsid w:val="00D87FF2"/>
    <w:rsid w:val="00DA18A1"/>
    <w:rsid w:val="00DA397C"/>
    <w:rsid w:val="00DA3CAA"/>
    <w:rsid w:val="00DB6830"/>
    <w:rsid w:val="00DD2DF7"/>
    <w:rsid w:val="00DD6D13"/>
    <w:rsid w:val="00DE4063"/>
    <w:rsid w:val="00DE57D7"/>
    <w:rsid w:val="00DE5C60"/>
    <w:rsid w:val="00DF1804"/>
    <w:rsid w:val="00DF2303"/>
    <w:rsid w:val="00DF2D9F"/>
    <w:rsid w:val="00DF6C8A"/>
    <w:rsid w:val="00DF7D32"/>
    <w:rsid w:val="00E03698"/>
    <w:rsid w:val="00E03F1A"/>
    <w:rsid w:val="00E0619B"/>
    <w:rsid w:val="00E077A2"/>
    <w:rsid w:val="00E12FCA"/>
    <w:rsid w:val="00E26273"/>
    <w:rsid w:val="00E27C45"/>
    <w:rsid w:val="00E36642"/>
    <w:rsid w:val="00E4099C"/>
    <w:rsid w:val="00E419FB"/>
    <w:rsid w:val="00E4311E"/>
    <w:rsid w:val="00E46BC1"/>
    <w:rsid w:val="00E57D4F"/>
    <w:rsid w:val="00E678F8"/>
    <w:rsid w:val="00E8260F"/>
    <w:rsid w:val="00E831C4"/>
    <w:rsid w:val="00E84B4C"/>
    <w:rsid w:val="00E84C67"/>
    <w:rsid w:val="00E868B7"/>
    <w:rsid w:val="00EA2298"/>
    <w:rsid w:val="00EA5D55"/>
    <w:rsid w:val="00EA61D1"/>
    <w:rsid w:val="00EB21D1"/>
    <w:rsid w:val="00EB3BCF"/>
    <w:rsid w:val="00ED1EB5"/>
    <w:rsid w:val="00ED4BAE"/>
    <w:rsid w:val="00EE321A"/>
    <w:rsid w:val="00EF05D5"/>
    <w:rsid w:val="00EF085C"/>
    <w:rsid w:val="00EF1EF6"/>
    <w:rsid w:val="00EF3624"/>
    <w:rsid w:val="00EF3BEF"/>
    <w:rsid w:val="00EF3C39"/>
    <w:rsid w:val="00F00522"/>
    <w:rsid w:val="00F02D79"/>
    <w:rsid w:val="00F13D30"/>
    <w:rsid w:val="00F16B98"/>
    <w:rsid w:val="00F20BB1"/>
    <w:rsid w:val="00F35980"/>
    <w:rsid w:val="00F36891"/>
    <w:rsid w:val="00F4225D"/>
    <w:rsid w:val="00F42E6A"/>
    <w:rsid w:val="00F43CEF"/>
    <w:rsid w:val="00F447D4"/>
    <w:rsid w:val="00F453BE"/>
    <w:rsid w:val="00F5617D"/>
    <w:rsid w:val="00F630E4"/>
    <w:rsid w:val="00F67CD6"/>
    <w:rsid w:val="00F72A90"/>
    <w:rsid w:val="00F75989"/>
    <w:rsid w:val="00F83986"/>
    <w:rsid w:val="00F84B75"/>
    <w:rsid w:val="00F86F53"/>
    <w:rsid w:val="00F94943"/>
    <w:rsid w:val="00F96D55"/>
    <w:rsid w:val="00FA0CFC"/>
    <w:rsid w:val="00FA3BE2"/>
    <w:rsid w:val="00FA7A78"/>
    <w:rsid w:val="00FB2906"/>
    <w:rsid w:val="00FB36E8"/>
    <w:rsid w:val="00FB3EEA"/>
    <w:rsid w:val="00FC1C3A"/>
    <w:rsid w:val="00FC55A2"/>
    <w:rsid w:val="00FD1AD3"/>
    <w:rsid w:val="00FD3CDE"/>
    <w:rsid w:val="00FD5EB4"/>
    <w:rsid w:val="00FD6E83"/>
    <w:rsid w:val="00FF2E2B"/>
    <w:rsid w:val="00FF334E"/>
    <w:rsid w:val="00FF6629"/>
    <w:rsid w:val="00FF6C4E"/>
    <w:rsid w:val="00FF6E55"/>
    <w:rsid w:val="00FF7D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DF226A"/>
  <w15:docId w15:val="{A2229090-B12E-4707-89A8-4012DE19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43F4"/>
    <w:pPr>
      <w:spacing w:before="10" w:line="250" w:lineRule="atLeast"/>
    </w:pPr>
    <w:rPr>
      <w:rFonts w:ascii="Arial" w:hAnsi="Arial"/>
      <w:sz w:val="22"/>
      <w:szCs w:val="24"/>
      <w:lang w:val="de-DE" w:eastAsia="de-DE"/>
    </w:rPr>
  </w:style>
  <w:style w:type="paragraph" w:styleId="berschrift1">
    <w:name w:val="heading 1"/>
    <w:basedOn w:val="Standard"/>
    <w:next w:val="Standard"/>
    <w:qFormat/>
    <w:pPr>
      <w:keepNext/>
      <w:spacing w:before="720"/>
      <w:outlineLvl w:val="0"/>
    </w:pPr>
    <w:rPr>
      <w:rFonts w:cs="Arial"/>
      <w:b/>
      <w:bCs/>
      <w:kern w:val="32"/>
      <w:sz w:val="24"/>
      <w:szCs w:val="32"/>
    </w:rPr>
  </w:style>
  <w:style w:type="paragraph" w:styleId="berschrift2">
    <w:name w:val="heading 2"/>
    <w:basedOn w:val="Standard"/>
    <w:next w:val="Standard"/>
    <w:qFormat/>
    <w:pPr>
      <w:keepNext/>
      <w:spacing w:before="500"/>
      <w:outlineLvl w:val="1"/>
    </w:pPr>
    <w:rPr>
      <w:rFonts w:cs="Arial"/>
      <w:b/>
      <w:bCs/>
      <w:sz w:val="21"/>
      <w:szCs w:val="28"/>
    </w:rPr>
  </w:style>
  <w:style w:type="paragraph" w:styleId="berschrift3">
    <w:name w:val="heading 3"/>
    <w:basedOn w:val="Standard"/>
    <w:next w:val="Standard"/>
    <w:qFormat/>
    <w:pPr>
      <w:keepNext/>
      <w:spacing w:before="360"/>
      <w:outlineLvl w:val="2"/>
    </w:pPr>
    <w:rPr>
      <w:rFonts w:cs="Arial"/>
      <w:b/>
      <w:bCs/>
      <w:i/>
      <w:iCs/>
      <w:sz w:val="19"/>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dresse">
    <w:name w:val="1_adresse"/>
    <w:basedOn w:val="Standard"/>
    <w:next w:val="Standard"/>
    <w:pPr>
      <w:spacing w:before="560" w:line="240" w:lineRule="atLeast"/>
    </w:pPr>
  </w:style>
  <w:style w:type="paragraph" w:styleId="Fuzeile">
    <w:name w:val="footer"/>
    <w:basedOn w:val="Standard"/>
    <w:rsid w:val="00925A63"/>
    <w:pPr>
      <w:tabs>
        <w:tab w:val="center" w:pos="4536"/>
        <w:tab w:val="right" w:pos="9072"/>
      </w:tabs>
    </w:pPr>
  </w:style>
  <w:style w:type="paragraph" w:styleId="Sprechblasentext">
    <w:name w:val="Balloon Text"/>
    <w:basedOn w:val="Standard"/>
    <w:semiHidden/>
    <w:rsid w:val="00A147F6"/>
    <w:rPr>
      <w:rFonts w:ascii="Tahoma" w:hAnsi="Tahoma" w:cs="Tahoma"/>
      <w:sz w:val="16"/>
      <w:szCs w:val="16"/>
    </w:rPr>
  </w:style>
  <w:style w:type="character" w:styleId="Hyperlink">
    <w:name w:val="Hyperlink"/>
    <w:rsid w:val="00F453BE"/>
    <w:rPr>
      <w:color w:val="0000FF"/>
      <w:u w:val="single"/>
    </w:rPr>
  </w:style>
  <w:style w:type="paragraph" w:customStyle="1" w:styleId="6gruformel">
    <w:name w:val="6_grußformel"/>
    <w:basedOn w:val="Standard"/>
    <w:next w:val="Standar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sid w:val="001A5F5B"/>
    <w:pPr>
      <w:spacing w:before="0" w:after="120" w:line="312" w:lineRule="auto"/>
      <w:ind w:right="2691"/>
    </w:pPr>
    <w:rPr>
      <w:sz w:val="20"/>
      <w:szCs w:val="20"/>
      <w:lang w:eastAsia="fr-FR"/>
    </w:rPr>
  </w:style>
  <w:style w:type="paragraph" w:styleId="StandardWeb">
    <w:name w:val="Normal (Web)"/>
    <w:basedOn w:val="Standard"/>
    <w:uiPriority w:val="99"/>
    <w:unhideWhenUsed/>
    <w:rsid w:val="00712EC3"/>
    <w:pPr>
      <w:spacing w:before="100" w:beforeAutospacing="1" w:after="100" w:afterAutospacing="1" w:line="240" w:lineRule="auto"/>
    </w:pPr>
    <w:rPr>
      <w:rFonts w:ascii="Times New Roman" w:hAnsi="Times New Roman"/>
      <w:sz w:val="24"/>
      <w:lang w:val="de-AT" w:eastAsia="de-AT"/>
    </w:rPr>
  </w:style>
  <w:style w:type="paragraph" w:customStyle="1" w:styleId="Formatvorlage11PtBlockVor0PtZeilenabstand15Zeilen">
    <w:name w:val="Formatvorlage 11 Pt. Block Vor:  0 Pt. Zeilenabstand:  15 Zeilen"/>
    <w:basedOn w:val="Standard"/>
    <w:autoRedefine/>
    <w:rsid w:val="006043A8"/>
    <w:pPr>
      <w:spacing w:before="0" w:line="360" w:lineRule="auto"/>
    </w:pPr>
    <w:rPr>
      <w:szCs w:val="20"/>
    </w:rPr>
  </w:style>
  <w:style w:type="character" w:styleId="Fett">
    <w:name w:val="Strong"/>
    <w:basedOn w:val="Absatz-Standardschriftart"/>
    <w:uiPriority w:val="22"/>
    <w:qFormat/>
    <w:rsid w:val="00712EC3"/>
    <w:rPr>
      <w:b/>
      <w:bCs/>
    </w:rPr>
  </w:style>
  <w:style w:type="character" w:customStyle="1" w:styleId="apple-converted-space">
    <w:name w:val="apple-converted-space"/>
    <w:basedOn w:val="Absatz-Standardschriftart"/>
    <w:rsid w:val="00712EC3"/>
  </w:style>
  <w:style w:type="paragraph" w:styleId="Listenabsatz">
    <w:name w:val="List Paragraph"/>
    <w:basedOn w:val="Standard"/>
    <w:uiPriority w:val="34"/>
    <w:rsid w:val="00712EC3"/>
    <w:pPr>
      <w:tabs>
        <w:tab w:val="left" w:pos="284"/>
        <w:tab w:val="left" w:pos="567"/>
        <w:tab w:val="left" w:pos="851"/>
        <w:tab w:val="left" w:pos="1134"/>
        <w:tab w:val="left" w:pos="1418"/>
      </w:tabs>
      <w:spacing w:before="0" w:line="260" w:lineRule="exact"/>
      <w:ind w:left="720"/>
      <w:contextualSpacing/>
    </w:pPr>
    <w:rPr>
      <w:rFonts w:eastAsiaTheme="minorEastAsia"/>
      <w:kern w:val="14"/>
      <w:sz w:val="20"/>
      <w:lang w:eastAsia="en-US"/>
    </w:rPr>
  </w:style>
  <w:style w:type="character" w:customStyle="1" w:styleId="caps">
    <w:name w:val="caps"/>
    <w:basedOn w:val="Absatz-Standardschriftart"/>
    <w:rsid w:val="0004072A"/>
  </w:style>
  <w:style w:type="character" w:styleId="Kommentarzeichen">
    <w:name w:val="annotation reference"/>
    <w:basedOn w:val="Absatz-Standardschriftart"/>
    <w:semiHidden/>
    <w:unhideWhenUsed/>
    <w:rsid w:val="009305CE"/>
    <w:rPr>
      <w:sz w:val="16"/>
      <w:szCs w:val="16"/>
    </w:rPr>
  </w:style>
  <w:style w:type="paragraph" w:styleId="Kommentartext">
    <w:name w:val="annotation text"/>
    <w:basedOn w:val="Standard"/>
    <w:link w:val="KommentartextZchn"/>
    <w:semiHidden/>
    <w:unhideWhenUsed/>
    <w:rsid w:val="009305CE"/>
    <w:pPr>
      <w:spacing w:line="240" w:lineRule="auto"/>
    </w:pPr>
    <w:rPr>
      <w:sz w:val="20"/>
      <w:szCs w:val="20"/>
    </w:rPr>
  </w:style>
  <w:style w:type="character" w:customStyle="1" w:styleId="KommentartextZchn">
    <w:name w:val="Kommentartext Zchn"/>
    <w:basedOn w:val="Absatz-Standardschriftart"/>
    <w:link w:val="Kommentartext"/>
    <w:semiHidden/>
    <w:rsid w:val="009305CE"/>
    <w:rPr>
      <w:rFonts w:ascii="Arial" w:hAnsi="Arial"/>
      <w:lang w:val="de-DE" w:eastAsia="de-DE"/>
    </w:rPr>
  </w:style>
  <w:style w:type="paragraph" w:styleId="Kommentarthema">
    <w:name w:val="annotation subject"/>
    <w:basedOn w:val="Kommentartext"/>
    <w:next w:val="Kommentartext"/>
    <w:link w:val="KommentarthemaZchn"/>
    <w:semiHidden/>
    <w:unhideWhenUsed/>
    <w:rsid w:val="009305CE"/>
    <w:rPr>
      <w:b/>
      <w:bCs/>
    </w:rPr>
  </w:style>
  <w:style w:type="character" w:customStyle="1" w:styleId="KommentarthemaZchn">
    <w:name w:val="Kommentarthema Zchn"/>
    <w:basedOn w:val="KommentartextZchn"/>
    <w:link w:val="Kommentarthema"/>
    <w:semiHidden/>
    <w:rsid w:val="009305CE"/>
    <w:rPr>
      <w:rFonts w:ascii="Arial" w:hAnsi="Arial"/>
      <w:b/>
      <w:bCs/>
      <w:lang w:val="de-DE" w:eastAsia="de-DE"/>
    </w:rPr>
  </w:style>
  <w:style w:type="character" w:styleId="BesuchterLink">
    <w:name w:val="FollowedHyperlink"/>
    <w:basedOn w:val="Absatz-Standardschriftart"/>
    <w:semiHidden/>
    <w:unhideWhenUsed/>
    <w:rsid w:val="002D16CF"/>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8E0ACD"/>
    <w:rPr>
      <w:color w:val="808080"/>
      <w:shd w:val="clear" w:color="auto" w:fill="E6E6E6"/>
    </w:rPr>
  </w:style>
  <w:style w:type="character" w:styleId="Platzhaltertext">
    <w:name w:val="Placeholder Text"/>
    <w:basedOn w:val="Absatz-Standardschriftart"/>
    <w:uiPriority w:val="99"/>
    <w:rsid w:val="00673E28"/>
    <w:rPr>
      <w:color w:val="808080"/>
    </w:rPr>
  </w:style>
  <w:style w:type="paragraph" w:customStyle="1" w:styleId="ListeLevel1">
    <w:name w:val="Liste Level 1"/>
    <w:basedOn w:val="Standard"/>
    <w:uiPriority w:val="3"/>
    <w:qFormat/>
    <w:rsid w:val="00673E28"/>
    <w:pPr>
      <w:numPr>
        <w:numId w:val="21"/>
      </w:numPr>
      <w:spacing w:before="120" w:line="240" w:lineRule="auto"/>
    </w:pPr>
    <w:rPr>
      <w:rFonts w:asciiTheme="minorHAnsi" w:hAnsiTheme="minorHAnsi"/>
      <w:sz w:val="20"/>
      <w:szCs w:val="20"/>
    </w:rPr>
  </w:style>
  <w:style w:type="character" w:customStyle="1" w:styleId="UnresolvedMention">
    <w:name w:val="Unresolved Mention"/>
    <w:basedOn w:val="Absatz-Standardschriftart"/>
    <w:uiPriority w:val="99"/>
    <w:semiHidden/>
    <w:unhideWhenUsed/>
    <w:rsid w:val="000C58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2198">
      <w:bodyDiv w:val="1"/>
      <w:marLeft w:val="0"/>
      <w:marRight w:val="0"/>
      <w:marTop w:val="0"/>
      <w:marBottom w:val="0"/>
      <w:divBdr>
        <w:top w:val="none" w:sz="0" w:space="0" w:color="auto"/>
        <w:left w:val="none" w:sz="0" w:space="0" w:color="auto"/>
        <w:bottom w:val="none" w:sz="0" w:space="0" w:color="auto"/>
        <w:right w:val="none" w:sz="0" w:space="0" w:color="auto"/>
      </w:divBdr>
      <w:divsChild>
        <w:div w:id="420033169">
          <w:marLeft w:val="0"/>
          <w:marRight w:val="0"/>
          <w:marTop w:val="0"/>
          <w:marBottom w:val="0"/>
          <w:divBdr>
            <w:top w:val="none" w:sz="0" w:space="0" w:color="auto"/>
            <w:left w:val="none" w:sz="0" w:space="0" w:color="auto"/>
            <w:bottom w:val="none" w:sz="0" w:space="0" w:color="auto"/>
            <w:right w:val="none" w:sz="0" w:space="0" w:color="auto"/>
          </w:divBdr>
        </w:div>
      </w:divsChild>
    </w:div>
    <w:div w:id="508638202">
      <w:bodyDiv w:val="1"/>
      <w:marLeft w:val="0"/>
      <w:marRight w:val="0"/>
      <w:marTop w:val="0"/>
      <w:marBottom w:val="0"/>
      <w:divBdr>
        <w:top w:val="none" w:sz="0" w:space="0" w:color="auto"/>
        <w:left w:val="none" w:sz="0" w:space="0" w:color="auto"/>
        <w:bottom w:val="none" w:sz="0" w:space="0" w:color="auto"/>
        <w:right w:val="none" w:sz="0" w:space="0" w:color="auto"/>
      </w:divBdr>
      <w:divsChild>
        <w:div w:id="587466442">
          <w:marLeft w:val="0"/>
          <w:marRight w:val="0"/>
          <w:marTop w:val="0"/>
          <w:marBottom w:val="0"/>
          <w:divBdr>
            <w:top w:val="none" w:sz="0" w:space="0" w:color="auto"/>
            <w:left w:val="none" w:sz="0" w:space="0" w:color="auto"/>
            <w:bottom w:val="none" w:sz="0" w:space="0" w:color="auto"/>
            <w:right w:val="none" w:sz="0" w:space="0" w:color="auto"/>
          </w:divBdr>
        </w:div>
        <w:div w:id="163278711">
          <w:marLeft w:val="0"/>
          <w:marRight w:val="0"/>
          <w:marTop w:val="0"/>
          <w:marBottom w:val="0"/>
          <w:divBdr>
            <w:top w:val="none" w:sz="0" w:space="0" w:color="auto"/>
            <w:left w:val="none" w:sz="0" w:space="0" w:color="auto"/>
            <w:bottom w:val="none" w:sz="0" w:space="0" w:color="auto"/>
            <w:right w:val="none" w:sz="0" w:space="0" w:color="auto"/>
          </w:divBdr>
        </w:div>
        <w:div w:id="1392386567">
          <w:marLeft w:val="0"/>
          <w:marRight w:val="0"/>
          <w:marTop w:val="0"/>
          <w:marBottom w:val="0"/>
          <w:divBdr>
            <w:top w:val="none" w:sz="0" w:space="0" w:color="auto"/>
            <w:left w:val="none" w:sz="0" w:space="0" w:color="auto"/>
            <w:bottom w:val="none" w:sz="0" w:space="0" w:color="auto"/>
            <w:right w:val="none" w:sz="0" w:space="0" w:color="auto"/>
          </w:divBdr>
        </w:div>
        <w:div w:id="1867519752">
          <w:marLeft w:val="0"/>
          <w:marRight w:val="0"/>
          <w:marTop w:val="0"/>
          <w:marBottom w:val="0"/>
          <w:divBdr>
            <w:top w:val="none" w:sz="0" w:space="0" w:color="auto"/>
            <w:left w:val="none" w:sz="0" w:space="0" w:color="auto"/>
            <w:bottom w:val="none" w:sz="0" w:space="0" w:color="auto"/>
            <w:right w:val="none" w:sz="0" w:space="0" w:color="auto"/>
          </w:divBdr>
        </w:div>
        <w:div w:id="635649047">
          <w:marLeft w:val="0"/>
          <w:marRight w:val="0"/>
          <w:marTop w:val="0"/>
          <w:marBottom w:val="0"/>
          <w:divBdr>
            <w:top w:val="none" w:sz="0" w:space="0" w:color="auto"/>
            <w:left w:val="none" w:sz="0" w:space="0" w:color="auto"/>
            <w:bottom w:val="none" w:sz="0" w:space="0" w:color="auto"/>
            <w:right w:val="none" w:sz="0" w:space="0" w:color="auto"/>
          </w:divBdr>
        </w:div>
        <w:div w:id="1200583472">
          <w:marLeft w:val="0"/>
          <w:marRight w:val="0"/>
          <w:marTop w:val="0"/>
          <w:marBottom w:val="0"/>
          <w:divBdr>
            <w:top w:val="none" w:sz="0" w:space="0" w:color="auto"/>
            <w:left w:val="none" w:sz="0" w:space="0" w:color="auto"/>
            <w:bottom w:val="none" w:sz="0" w:space="0" w:color="auto"/>
            <w:right w:val="none" w:sz="0" w:space="0" w:color="auto"/>
          </w:divBdr>
        </w:div>
      </w:divsChild>
    </w:div>
    <w:div w:id="520508082">
      <w:bodyDiv w:val="1"/>
      <w:marLeft w:val="0"/>
      <w:marRight w:val="0"/>
      <w:marTop w:val="0"/>
      <w:marBottom w:val="0"/>
      <w:divBdr>
        <w:top w:val="none" w:sz="0" w:space="0" w:color="auto"/>
        <w:left w:val="none" w:sz="0" w:space="0" w:color="auto"/>
        <w:bottom w:val="none" w:sz="0" w:space="0" w:color="auto"/>
        <w:right w:val="none" w:sz="0" w:space="0" w:color="auto"/>
      </w:divBdr>
    </w:div>
    <w:div w:id="531187634">
      <w:bodyDiv w:val="1"/>
      <w:marLeft w:val="0"/>
      <w:marRight w:val="0"/>
      <w:marTop w:val="0"/>
      <w:marBottom w:val="0"/>
      <w:divBdr>
        <w:top w:val="none" w:sz="0" w:space="0" w:color="auto"/>
        <w:left w:val="none" w:sz="0" w:space="0" w:color="auto"/>
        <w:bottom w:val="none" w:sz="0" w:space="0" w:color="auto"/>
        <w:right w:val="none" w:sz="0" w:space="0" w:color="auto"/>
      </w:divBdr>
    </w:div>
    <w:div w:id="538514039">
      <w:bodyDiv w:val="1"/>
      <w:marLeft w:val="0"/>
      <w:marRight w:val="0"/>
      <w:marTop w:val="0"/>
      <w:marBottom w:val="0"/>
      <w:divBdr>
        <w:top w:val="none" w:sz="0" w:space="0" w:color="auto"/>
        <w:left w:val="none" w:sz="0" w:space="0" w:color="auto"/>
        <w:bottom w:val="none" w:sz="0" w:space="0" w:color="auto"/>
        <w:right w:val="none" w:sz="0" w:space="0" w:color="auto"/>
      </w:divBdr>
    </w:div>
    <w:div w:id="942541433">
      <w:bodyDiv w:val="1"/>
      <w:marLeft w:val="0"/>
      <w:marRight w:val="0"/>
      <w:marTop w:val="0"/>
      <w:marBottom w:val="0"/>
      <w:divBdr>
        <w:top w:val="none" w:sz="0" w:space="0" w:color="auto"/>
        <w:left w:val="none" w:sz="0" w:space="0" w:color="auto"/>
        <w:bottom w:val="none" w:sz="0" w:space="0" w:color="auto"/>
        <w:right w:val="none" w:sz="0" w:space="0" w:color="auto"/>
      </w:divBdr>
      <w:divsChild>
        <w:div w:id="1910649937">
          <w:marLeft w:val="0"/>
          <w:marRight w:val="0"/>
          <w:marTop w:val="0"/>
          <w:marBottom w:val="0"/>
          <w:divBdr>
            <w:top w:val="none" w:sz="0" w:space="0" w:color="auto"/>
            <w:left w:val="none" w:sz="0" w:space="0" w:color="auto"/>
            <w:bottom w:val="none" w:sz="0" w:space="0" w:color="auto"/>
            <w:right w:val="none" w:sz="0" w:space="0" w:color="auto"/>
          </w:divBdr>
        </w:div>
        <w:div w:id="2087065329">
          <w:marLeft w:val="0"/>
          <w:marRight w:val="0"/>
          <w:marTop w:val="0"/>
          <w:marBottom w:val="0"/>
          <w:divBdr>
            <w:top w:val="none" w:sz="0" w:space="0" w:color="auto"/>
            <w:left w:val="none" w:sz="0" w:space="0" w:color="auto"/>
            <w:bottom w:val="none" w:sz="0" w:space="0" w:color="auto"/>
            <w:right w:val="none" w:sz="0" w:space="0" w:color="auto"/>
          </w:divBdr>
          <w:divsChild>
            <w:div w:id="768811682">
              <w:marLeft w:val="0"/>
              <w:marRight w:val="0"/>
              <w:marTop w:val="0"/>
              <w:marBottom w:val="0"/>
              <w:divBdr>
                <w:top w:val="none" w:sz="0" w:space="0" w:color="auto"/>
                <w:left w:val="none" w:sz="0" w:space="0" w:color="auto"/>
                <w:bottom w:val="none" w:sz="0" w:space="0" w:color="auto"/>
                <w:right w:val="none" w:sz="0" w:space="0" w:color="auto"/>
              </w:divBdr>
            </w:div>
            <w:div w:id="3526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867">
      <w:bodyDiv w:val="1"/>
      <w:marLeft w:val="0"/>
      <w:marRight w:val="0"/>
      <w:marTop w:val="0"/>
      <w:marBottom w:val="0"/>
      <w:divBdr>
        <w:top w:val="none" w:sz="0" w:space="0" w:color="auto"/>
        <w:left w:val="none" w:sz="0" w:space="0" w:color="auto"/>
        <w:bottom w:val="none" w:sz="0" w:space="0" w:color="auto"/>
        <w:right w:val="none" w:sz="0" w:space="0" w:color="auto"/>
      </w:divBdr>
      <w:divsChild>
        <w:div w:id="433402272">
          <w:marLeft w:val="0"/>
          <w:marRight w:val="0"/>
          <w:marTop w:val="0"/>
          <w:marBottom w:val="0"/>
          <w:divBdr>
            <w:top w:val="none" w:sz="0" w:space="0" w:color="auto"/>
            <w:left w:val="none" w:sz="0" w:space="0" w:color="auto"/>
            <w:bottom w:val="none" w:sz="0" w:space="0" w:color="auto"/>
            <w:right w:val="none" w:sz="0" w:space="0" w:color="auto"/>
          </w:divBdr>
        </w:div>
        <w:div w:id="1435176190">
          <w:marLeft w:val="0"/>
          <w:marRight w:val="0"/>
          <w:marTop w:val="0"/>
          <w:marBottom w:val="0"/>
          <w:divBdr>
            <w:top w:val="none" w:sz="0" w:space="0" w:color="auto"/>
            <w:left w:val="none" w:sz="0" w:space="0" w:color="auto"/>
            <w:bottom w:val="none" w:sz="0" w:space="0" w:color="auto"/>
            <w:right w:val="none" w:sz="0" w:space="0" w:color="auto"/>
          </w:divBdr>
        </w:div>
        <w:div w:id="50278983">
          <w:marLeft w:val="0"/>
          <w:marRight w:val="0"/>
          <w:marTop w:val="0"/>
          <w:marBottom w:val="0"/>
          <w:divBdr>
            <w:top w:val="none" w:sz="0" w:space="0" w:color="auto"/>
            <w:left w:val="none" w:sz="0" w:space="0" w:color="auto"/>
            <w:bottom w:val="none" w:sz="0" w:space="0" w:color="auto"/>
            <w:right w:val="none" w:sz="0" w:space="0" w:color="auto"/>
          </w:divBdr>
        </w:div>
        <w:div w:id="1858346949">
          <w:marLeft w:val="0"/>
          <w:marRight w:val="0"/>
          <w:marTop w:val="0"/>
          <w:marBottom w:val="0"/>
          <w:divBdr>
            <w:top w:val="none" w:sz="0" w:space="0" w:color="auto"/>
            <w:left w:val="none" w:sz="0" w:space="0" w:color="auto"/>
            <w:bottom w:val="none" w:sz="0" w:space="0" w:color="auto"/>
            <w:right w:val="none" w:sz="0" w:space="0" w:color="auto"/>
          </w:divBdr>
        </w:div>
        <w:div w:id="1401706472">
          <w:marLeft w:val="0"/>
          <w:marRight w:val="0"/>
          <w:marTop w:val="0"/>
          <w:marBottom w:val="0"/>
          <w:divBdr>
            <w:top w:val="none" w:sz="0" w:space="0" w:color="auto"/>
            <w:left w:val="none" w:sz="0" w:space="0" w:color="auto"/>
            <w:bottom w:val="none" w:sz="0" w:space="0" w:color="auto"/>
            <w:right w:val="none" w:sz="0" w:space="0" w:color="auto"/>
          </w:divBdr>
        </w:div>
        <w:div w:id="318727736">
          <w:marLeft w:val="0"/>
          <w:marRight w:val="0"/>
          <w:marTop w:val="0"/>
          <w:marBottom w:val="0"/>
          <w:divBdr>
            <w:top w:val="none" w:sz="0" w:space="0" w:color="auto"/>
            <w:left w:val="none" w:sz="0" w:space="0" w:color="auto"/>
            <w:bottom w:val="none" w:sz="0" w:space="0" w:color="auto"/>
            <w:right w:val="none" w:sz="0" w:space="0" w:color="auto"/>
          </w:divBdr>
        </w:div>
        <w:div w:id="517307530">
          <w:marLeft w:val="0"/>
          <w:marRight w:val="0"/>
          <w:marTop w:val="0"/>
          <w:marBottom w:val="0"/>
          <w:divBdr>
            <w:top w:val="none" w:sz="0" w:space="0" w:color="auto"/>
            <w:left w:val="none" w:sz="0" w:space="0" w:color="auto"/>
            <w:bottom w:val="none" w:sz="0" w:space="0" w:color="auto"/>
            <w:right w:val="none" w:sz="0" w:space="0" w:color="auto"/>
          </w:divBdr>
        </w:div>
        <w:div w:id="1458063785">
          <w:marLeft w:val="0"/>
          <w:marRight w:val="0"/>
          <w:marTop w:val="0"/>
          <w:marBottom w:val="0"/>
          <w:divBdr>
            <w:top w:val="none" w:sz="0" w:space="0" w:color="auto"/>
            <w:left w:val="none" w:sz="0" w:space="0" w:color="auto"/>
            <w:bottom w:val="none" w:sz="0" w:space="0" w:color="auto"/>
            <w:right w:val="none" w:sz="0" w:space="0" w:color="auto"/>
          </w:divBdr>
        </w:div>
        <w:div w:id="2068608795">
          <w:marLeft w:val="0"/>
          <w:marRight w:val="0"/>
          <w:marTop w:val="0"/>
          <w:marBottom w:val="0"/>
          <w:divBdr>
            <w:top w:val="none" w:sz="0" w:space="0" w:color="auto"/>
            <w:left w:val="none" w:sz="0" w:space="0" w:color="auto"/>
            <w:bottom w:val="none" w:sz="0" w:space="0" w:color="auto"/>
            <w:right w:val="none" w:sz="0" w:space="0" w:color="auto"/>
          </w:divBdr>
        </w:div>
        <w:div w:id="1598563391">
          <w:marLeft w:val="0"/>
          <w:marRight w:val="0"/>
          <w:marTop w:val="0"/>
          <w:marBottom w:val="0"/>
          <w:divBdr>
            <w:top w:val="none" w:sz="0" w:space="0" w:color="auto"/>
            <w:left w:val="none" w:sz="0" w:space="0" w:color="auto"/>
            <w:bottom w:val="none" w:sz="0" w:space="0" w:color="auto"/>
            <w:right w:val="none" w:sz="0" w:space="0" w:color="auto"/>
          </w:divBdr>
        </w:div>
        <w:div w:id="258373154">
          <w:marLeft w:val="0"/>
          <w:marRight w:val="0"/>
          <w:marTop w:val="0"/>
          <w:marBottom w:val="0"/>
          <w:divBdr>
            <w:top w:val="none" w:sz="0" w:space="0" w:color="auto"/>
            <w:left w:val="none" w:sz="0" w:space="0" w:color="auto"/>
            <w:bottom w:val="none" w:sz="0" w:space="0" w:color="auto"/>
            <w:right w:val="none" w:sz="0" w:space="0" w:color="auto"/>
          </w:divBdr>
        </w:div>
        <w:div w:id="746340792">
          <w:marLeft w:val="0"/>
          <w:marRight w:val="0"/>
          <w:marTop w:val="0"/>
          <w:marBottom w:val="0"/>
          <w:divBdr>
            <w:top w:val="none" w:sz="0" w:space="0" w:color="auto"/>
            <w:left w:val="none" w:sz="0" w:space="0" w:color="auto"/>
            <w:bottom w:val="none" w:sz="0" w:space="0" w:color="auto"/>
            <w:right w:val="none" w:sz="0" w:space="0" w:color="auto"/>
          </w:divBdr>
        </w:div>
      </w:divsChild>
    </w:div>
    <w:div w:id="1159076400">
      <w:bodyDiv w:val="1"/>
      <w:marLeft w:val="0"/>
      <w:marRight w:val="0"/>
      <w:marTop w:val="0"/>
      <w:marBottom w:val="0"/>
      <w:divBdr>
        <w:top w:val="none" w:sz="0" w:space="0" w:color="auto"/>
        <w:left w:val="none" w:sz="0" w:space="0" w:color="auto"/>
        <w:bottom w:val="none" w:sz="0" w:space="0" w:color="auto"/>
        <w:right w:val="none" w:sz="0" w:space="0" w:color="auto"/>
      </w:divBdr>
      <w:divsChild>
        <w:div w:id="489255806">
          <w:marLeft w:val="0"/>
          <w:marRight w:val="0"/>
          <w:marTop w:val="0"/>
          <w:marBottom w:val="0"/>
          <w:divBdr>
            <w:top w:val="none" w:sz="0" w:space="0" w:color="auto"/>
            <w:left w:val="none" w:sz="0" w:space="0" w:color="auto"/>
            <w:bottom w:val="none" w:sz="0" w:space="0" w:color="auto"/>
            <w:right w:val="none" w:sz="0" w:space="0" w:color="auto"/>
          </w:divBdr>
        </w:div>
      </w:divsChild>
    </w:div>
    <w:div w:id="1491289722">
      <w:bodyDiv w:val="1"/>
      <w:marLeft w:val="0"/>
      <w:marRight w:val="0"/>
      <w:marTop w:val="0"/>
      <w:marBottom w:val="0"/>
      <w:divBdr>
        <w:top w:val="none" w:sz="0" w:space="0" w:color="auto"/>
        <w:left w:val="none" w:sz="0" w:space="0" w:color="auto"/>
        <w:bottom w:val="none" w:sz="0" w:space="0" w:color="auto"/>
        <w:right w:val="none" w:sz="0" w:space="0" w:color="auto"/>
      </w:divBdr>
      <w:divsChild>
        <w:div w:id="913782545">
          <w:marLeft w:val="0"/>
          <w:marRight w:val="0"/>
          <w:marTop w:val="0"/>
          <w:marBottom w:val="0"/>
          <w:divBdr>
            <w:top w:val="none" w:sz="0" w:space="0" w:color="auto"/>
            <w:left w:val="none" w:sz="0" w:space="0" w:color="auto"/>
            <w:bottom w:val="none" w:sz="0" w:space="0" w:color="auto"/>
            <w:right w:val="none" w:sz="0" w:space="0" w:color="auto"/>
          </w:divBdr>
          <w:divsChild>
            <w:div w:id="669144548">
              <w:marLeft w:val="0"/>
              <w:marRight w:val="0"/>
              <w:marTop w:val="0"/>
              <w:marBottom w:val="0"/>
              <w:divBdr>
                <w:top w:val="none" w:sz="0" w:space="0" w:color="auto"/>
                <w:left w:val="none" w:sz="0" w:space="0" w:color="auto"/>
                <w:bottom w:val="none" w:sz="0" w:space="0" w:color="auto"/>
                <w:right w:val="none" w:sz="0" w:space="0" w:color="auto"/>
              </w:divBdr>
            </w:div>
          </w:divsChild>
        </w:div>
        <w:div w:id="912009248">
          <w:marLeft w:val="0"/>
          <w:marRight w:val="0"/>
          <w:marTop w:val="0"/>
          <w:marBottom w:val="0"/>
          <w:divBdr>
            <w:top w:val="none" w:sz="0" w:space="0" w:color="auto"/>
            <w:left w:val="none" w:sz="0" w:space="0" w:color="auto"/>
            <w:bottom w:val="none" w:sz="0" w:space="0" w:color="auto"/>
            <w:right w:val="none" w:sz="0" w:space="0" w:color="auto"/>
          </w:divBdr>
          <w:divsChild>
            <w:div w:id="5301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3420">
      <w:bodyDiv w:val="1"/>
      <w:marLeft w:val="0"/>
      <w:marRight w:val="0"/>
      <w:marTop w:val="0"/>
      <w:marBottom w:val="0"/>
      <w:divBdr>
        <w:top w:val="none" w:sz="0" w:space="0" w:color="auto"/>
        <w:left w:val="none" w:sz="0" w:space="0" w:color="auto"/>
        <w:bottom w:val="none" w:sz="0" w:space="0" w:color="auto"/>
        <w:right w:val="none" w:sz="0" w:space="0" w:color="auto"/>
      </w:divBdr>
    </w:div>
    <w:div w:id="2016149991">
      <w:bodyDiv w:val="1"/>
      <w:marLeft w:val="0"/>
      <w:marRight w:val="0"/>
      <w:marTop w:val="0"/>
      <w:marBottom w:val="0"/>
      <w:divBdr>
        <w:top w:val="none" w:sz="0" w:space="0" w:color="auto"/>
        <w:left w:val="none" w:sz="0" w:space="0" w:color="auto"/>
        <w:bottom w:val="none" w:sz="0" w:space="0" w:color="auto"/>
        <w:right w:val="none" w:sz="0" w:space="0" w:color="auto"/>
      </w:divBdr>
      <w:divsChild>
        <w:div w:id="1884633646">
          <w:marLeft w:val="0"/>
          <w:marRight w:val="0"/>
          <w:marTop w:val="0"/>
          <w:marBottom w:val="0"/>
          <w:divBdr>
            <w:top w:val="none" w:sz="0" w:space="0" w:color="auto"/>
            <w:left w:val="none" w:sz="0" w:space="0" w:color="auto"/>
            <w:bottom w:val="none" w:sz="0" w:space="0" w:color="auto"/>
            <w:right w:val="none" w:sz="0" w:space="0" w:color="auto"/>
          </w:divBdr>
        </w:div>
        <w:div w:id="36856068">
          <w:marLeft w:val="0"/>
          <w:marRight w:val="0"/>
          <w:marTop w:val="0"/>
          <w:marBottom w:val="0"/>
          <w:divBdr>
            <w:top w:val="none" w:sz="0" w:space="0" w:color="auto"/>
            <w:left w:val="none" w:sz="0" w:space="0" w:color="auto"/>
            <w:bottom w:val="none" w:sz="0" w:space="0" w:color="auto"/>
            <w:right w:val="none" w:sz="0" w:space="0" w:color="auto"/>
          </w:divBdr>
        </w:div>
        <w:div w:id="1796946186">
          <w:marLeft w:val="0"/>
          <w:marRight w:val="0"/>
          <w:marTop w:val="0"/>
          <w:marBottom w:val="0"/>
          <w:divBdr>
            <w:top w:val="none" w:sz="0" w:space="0" w:color="auto"/>
            <w:left w:val="none" w:sz="0" w:space="0" w:color="auto"/>
            <w:bottom w:val="none" w:sz="0" w:space="0" w:color="auto"/>
            <w:right w:val="none" w:sz="0" w:space="0" w:color="auto"/>
          </w:divBdr>
        </w:div>
        <w:div w:id="1388606357">
          <w:marLeft w:val="0"/>
          <w:marRight w:val="0"/>
          <w:marTop w:val="0"/>
          <w:marBottom w:val="0"/>
          <w:divBdr>
            <w:top w:val="none" w:sz="0" w:space="0" w:color="auto"/>
            <w:left w:val="none" w:sz="0" w:space="0" w:color="auto"/>
            <w:bottom w:val="none" w:sz="0" w:space="0" w:color="auto"/>
            <w:right w:val="none" w:sz="0" w:space="0" w:color="auto"/>
          </w:divBdr>
        </w:div>
        <w:div w:id="85958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kwassertag.at" TargetMode="External"/><Relationship Id="rId5" Type="http://schemas.openxmlformats.org/officeDocument/2006/relationships/webSettings" Target="webSettings.xml"/><Relationship Id="rId10" Type="http://schemas.openxmlformats.org/officeDocument/2006/relationships/hyperlink" Target="http://www.ovgw.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1B76-FDB0-4C8F-918F-78A30161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4622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Die Österreichische Vereinigung für das Gas- und Wasserfach (ÖVGW) ist die freiwillige Vertretung der österreichischen Gas- un</vt:lpstr>
    </vt:vector>
  </TitlesOfParts>
  <Company>ÖVGW</Company>
  <LinksUpToDate>false</LinksUpToDate>
  <CharactersWithSpaces>5293</CharactersWithSpaces>
  <SharedDoc>false</SharedDoc>
  <HLinks>
    <vt:vector size="6" baseType="variant">
      <vt:variant>
        <vt:i4>4587622</vt:i4>
      </vt:variant>
      <vt:variant>
        <vt:i4>0</vt:i4>
      </vt:variant>
      <vt:variant>
        <vt:i4>0</vt:i4>
      </vt:variant>
      <vt:variant>
        <vt:i4>5</vt:i4>
      </vt:variant>
      <vt:variant>
        <vt:lpwstr>mailto:boccioli@ovgw.at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Österreichische Vereinigung für das Gas- und Wasserfach (ÖVGW) ist die freiwillige Vertretung der österreichischen Gas- un</dc:title>
  <dc:creator>Boccioli</dc:creator>
  <cp:lastModifiedBy>Helga Lehner</cp:lastModifiedBy>
  <cp:revision>2</cp:revision>
  <cp:lastPrinted>2018-06-15T08:37:00Z</cp:lastPrinted>
  <dcterms:created xsi:type="dcterms:W3CDTF">2018-06-15T08:37:00Z</dcterms:created>
  <dcterms:modified xsi:type="dcterms:W3CDTF">2018-06-15T08:37:00Z</dcterms:modified>
</cp:coreProperties>
</file>